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Borders>
          <w:top w:val="single" w:sz="4" w:space="0" w:color="EDF9FE"/>
          <w:left w:val="single" w:sz="4" w:space="0" w:color="EDF9FE"/>
          <w:bottom w:val="single" w:sz="4" w:space="0" w:color="EDF9FE"/>
          <w:right w:val="single" w:sz="4" w:space="0" w:color="EDF9FE"/>
          <w:insideH w:val="none" w:sz="0" w:space="0" w:color="auto"/>
          <w:insideV w:val="none" w:sz="0" w:space="0" w:color="auto"/>
        </w:tblBorders>
        <w:shd w:val="clear" w:color="auto" w:fill="EDF9FE"/>
        <w:tblCellMar>
          <w:top w:w="130" w:type="dxa"/>
          <w:left w:w="216" w:type="dxa"/>
          <w:bottom w:w="130" w:type="dxa"/>
          <w:right w:w="216" w:type="dxa"/>
        </w:tblCellMar>
        <w:tblLook w:val="04A0" w:firstRow="1" w:lastRow="0" w:firstColumn="1" w:lastColumn="0" w:noHBand="0" w:noVBand="1"/>
      </w:tblPr>
      <w:tblGrid>
        <w:gridCol w:w="9985"/>
      </w:tblGrid>
      <w:tr w:rsidR="008D43BD" w14:paraId="1798E15B" w14:textId="77777777" w:rsidTr="00FF606F">
        <w:tc>
          <w:tcPr>
            <w:tcW w:w="9985" w:type="dxa"/>
            <w:shd w:val="clear" w:color="auto" w:fill="EDF9FE"/>
          </w:tcPr>
          <w:p w14:paraId="3C5BF776" w14:textId="0BEC33A3" w:rsidR="005C1F58" w:rsidRDefault="00705B7E" w:rsidP="005C1F58">
            <w:pPr>
              <w:pStyle w:val="ListParagraph"/>
            </w:pPr>
            <w:bookmarkStart w:id="0" w:name="_Hlk164278139"/>
            <w:bookmarkStart w:id="1" w:name="_Hlk518545510"/>
            <w:bookmarkStart w:id="2" w:name="_Hlk518545511"/>
            <w:bookmarkStart w:id="3" w:name="_Hlk518545512"/>
            <w:bookmarkStart w:id="4" w:name="_Hlk17732793"/>
            <w:bookmarkStart w:id="5" w:name="_Hlk17732833"/>
            <w:bookmarkStart w:id="6" w:name="_Hlk518055926"/>
            <w:bookmarkStart w:id="7" w:name="_Hlk19106127"/>
            <w:bookmarkStart w:id="8" w:name="_Hlk515817574"/>
            <w:bookmarkStart w:id="9" w:name="_Hlk518545447"/>
            <w:bookmarkEnd w:id="0"/>
            <w:r w:rsidRPr="00705B7E">
              <w:rPr>
                <w:b/>
                <w:bCs w:val="0"/>
              </w:rPr>
              <w:t>US equit</w:t>
            </w:r>
            <w:r w:rsidR="00DE2067">
              <w:rPr>
                <w:b/>
                <w:bCs w:val="0"/>
              </w:rPr>
              <w:t>y prices</w:t>
            </w:r>
            <w:r w:rsidRPr="00705B7E">
              <w:rPr>
                <w:b/>
                <w:bCs w:val="0"/>
              </w:rPr>
              <w:t xml:space="preserve"> f</w:t>
            </w:r>
            <w:r w:rsidR="006702B7">
              <w:rPr>
                <w:b/>
                <w:bCs w:val="0"/>
              </w:rPr>
              <w:t>e</w:t>
            </w:r>
            <w:r w:rsidRPr="00705B7E">
              <w:rPr>
                <w:b/>
                <w:bCs w:val="0"/>
              </w:rPr>
              <w:t xml:space="preserve">ll for four </w:t>
            </w:r>
            <w:r w:rsidR="00DE2067">
              <w:rPr>
                <w:b/>
                <w:bCs w:val="0"/>
              </w:rPr>
              <w:t xml:space="preserve">consecutive </w:t>
            </w:r>
            <w:r w:rsidRPr="00705B7E">
              <w:rPr>
                <w:b/>
                <w:bCs w:val="0"/>
              </w:rPr>
              <w:t>days</w:t>
            </w:r>
            <w:r w:rsidR="000964FB">
              <w:rPr>
                <w:b/>
                <w:bCs w:val="0"/>
              </w:rPr>
              <w:t>—</w:t>
            </w:r>
            <w:r w:rsidR="00DE2067">
              <w:rPr>
                <w:b/>
                <w:bCs w:val="0"/>
              </w:rPr>
              <w:t>but are set to open higher today</w:t>
            </w:r>
            <w:r w:rsidRPr="00705B7E">
              <w:rPr>
                <w:b/>
                <w:bCs w:val="0"/>
              </w:rPr>
              <w:t xml:space="preserve"> </w:t>
            </w:r>
            <w:r w:rsidR="00DA227E">
              <w:t>(</w:t>
            </w:r>
            <w:hyperlink w:anchor="A" w:history="1">
              <w:r w:rsidR="00DA227E" w:rsidRPr="007B0C50">
                <w:rPr>
                  <w:rStyle w:val="Hyperlink"/>
                </w:rPr>
                <w:t>li</w:t>
              </w:r>
              <w:r w:rsidR="00DA227E" w:rsidRPr="007B0C50">
                <w:rPr>
                  <w:rStyle w:val="Hyperlink"/>
                </w:rPr>
                <w:t>n</w:t>
              </w:r>
              <w:r w:rsidR="00DA227E" w:rsidRPr="007B0C50">
                <w:rPr>
                  <w:rStyle w:val="Hyperlink"/>
                </w:rPr>
                <w:t>k</w:t>
              </w:r>
            </w:hyperlink>
            <w:r w:rsidR="00DA227E">
              <w:t>)</w:t>
            </w:r>
          </w:p>
          <w:p w14:paraId="7BD9114C" w14:textId="51727893" w:rsidR="00B939C1" w:rsidRDefault="00705B7E" w:rsidP="005C1F58">
            <w:pPr>
              <w:pStyle w:val="ListParagraph"/>
            </w:pPr>
            <w:r w:rsidRPr="00705B7E">
              <w:rPr>
                <w:b/>
              </w:rPr>
              <w:t>US corporate treasurers become bondholder-friendl</w:t>
            </w:r>
            <w:r w:rsidR="006702B7">
              <w:rPr>
                <w:b/>
              </w:rPr>
              <w:t>ier</w:t>
            </w:r>
            <w:r w:rsidRPr="00705B7E">
              <w:rPr>
                <w:b/>
              </w:rPr>
              <w:t xml:space="preserve"> amid ‘higher for longer’</w:t>
            </w:r>
            <w:r w:rsidR="00B939C1">
              <w:rPr>
                <w:b/>
              </w:rPr>
              <w:t xml:space="preserve"> </w:t>
            </w:r>
            <w:r w:rsidR="00B939C1">
              <w:t>(</w:t>
            </w:r>
            <w:hyperlink w:anchor="B" w:history="1">
              <w:r w:rsidR="00B939C1" w:rsidRPr="007B0C50">
                <w:rPr>
                  <w:rStyle w:val="Hyperlink"/>
                </w:rPr>
                <w:t>lin</w:t>
              </w:r>
              <w:r w:rsidR="00B939C1" w:rsidRPr="007B0C50">
                <w:rPr>
                  <w:rStyle w:val="Hyperlink"/>
                </w:rPr>
                <w:t>k</w:t>
              </w:r>
            </w:hyperlink>
            <w:r w:rsidR="00B939C1">
              <w:t>)</w:t>
            </w:r>
          </w:p>
          <w:bookmarkEnd w:id="1"/>
          <w:bookmarkEnd w:id="2"/>
          <w:bookmarkEnd w:id="3"/>
          <w:bookmarkEnd w:id="4"/>
          <w:bookmarkEnd w:id="5"/>
          <w:p w14:paraId="1945C924" w14:textId="7A25E3E3" w:rsidR="00BD5796" w:rsidRDefault="00537093" w:rsidP="00BD5796">
            <w:pPr>
              <w:pStyle w:val="ListParagraph"/>
            </w:pPr>
            <w:r>
              <w:rPr>
                <w:b/>
                <w:bCs w:val="0"/>
              </w:rPr>
              <w:t>L</w:t>
            </w:r>
            <w:r w:rsidR="00705B7E" w:rsidRPr="00705B7E">
              <w:rPr>
                <w:b/>
                <w:bCs w:val="0"/>
              </w:rPr>
              <w:t xml:space="preserve">arge banks </w:t>
            </w:r>
            <w:r w:rsidR="008B2A3F">
              <w:rPr>
                <w:b/>
                <w:bCs w:val="0"/>
              </w:rPr>
              <w:t xml:space="preserve">attempt to </w:t>
            </w:r>
            <w:r w:rsidR="00705B7E" w:rsidRPr="00705B7E">
              <w:rPr>
                <w:b/>
                <w:bCs w:val="0"/>
              </w:rPr>
              <w:t xml:space="preserve">serve as matchmakers </w:t>
            </w:r>
            <w:r w:rsidR="00705B7E">
              <w:rPr>
                <w:b/>
                <w:bCs w:val="0"/>
              </w:rPr>
              <w:t>for</w:t>
            </w:r>
            <w:r w:rsidR="00705B7E" w:rsidRPr="00705B7E">
              <w:rPr>
                <w:b/>
                <w:bCs w:val="0"/>
              </w:rPr>
              <w:t xml:space="preserve"> private credit</w:t>
            </w:r>
            <w:r w:rsidR="00705B7E">
              <w:rPr>
                <w:b/>
                <w:bCs w:val="0"/>
              </w:rPr>
              <w:t xml:space="preserve"> deals</w:t>
            </w:r>
            <w:r w:rsidR="00BD5796">
              <w:t xml:space="preserve"> (</w:t>
            </w:r>
            <w:bookmarkStart w:id="10" w:name="C"/>
            <w:r>
              <w:fldChar w:fldCharType="begin"/>
            </w:r>
            <w:r w:rsidR="00DE2067">
              <w:instrText>HYPERLINK  \l "G"</w:instrText>
            </w:r>
            <w:r>
              <w:fldChar w:fldCharType="separate"/>
            </w:r>
            <w:r w:rsidR="00BD5796" w:rsidRPr="007B0C50">
              <w:rPr>
                <w:rStyle w:val="Hyperlink"/>
              </w:rPr>
              <w:t>li</w:t>
            </w:r>
            <w:r w:rsidR="00BD5796" w:rsidRPr="007B0C50">
              <w:rPr>
                <w:rStyle w:val="Hyperlink"/>
              </w:rPr>
              <w:t>n</w:t>
            </w:r>
            <w:r w:rsidR="00BD5796" w:rsidRPr="007B0C50">
              <w:rPr>
                <w:rStyle w:val="Hyperlink"/>
              </w:rPr>
              <w:t>k</w:t>
            </w:r>
            <w:r>
              <w:rPr>
                <w:rStyle w:val="Hyperlink"/>
              </w:rPr>
              <w:fldChar w:fldCharType="end"/>
            </w:r>
            <w:bookmarkEnd w:id="10"/>
            <w:r w:rsidR="00BD5796">
              <w:t>)</w:t>
            </w:r>
          </w:p>
          <w:p w14:paraId="1E286578" w14:textId="1B457A75" w:rsidR="000422AE" w:rsidRDefault="006702B7" w:rsidP="00BD5796">
            <w:pPr>
              <w:pStyle w:val="ListParagraph"/>
            </w:pPr>
            <w:r w:rsidRPr="006702B7">
              <w:rPr>
                <w:b/>
                <w:bCs w:val="0"/>
              </w:rPr>
              <w:t>Analysts no longer see Bank of England rate cut in May</w:t>
            </w:r>
            <w:r w:rsidR="00BD5796">
              <w:t xml:space="preserve"> (</w:t>
            </w:r>
            <w:bookmarkStart w:id="11" w:name="D"/>
            <w:r>
              <w:fldChar w:fldCharType="begin"/>
            </w:r>
            <w:r w:rsidR="00DE2067">
              <w:instrText>HYPERLINK  \l "H"</w:instrText>
            </w:r>
            <w:r>
              <w:fldChar w:fldCharType="separate"/>
            </w:r>
            <w:r w:rsidR="00BD5796" w:rsidRPr="007B0C50">
              <w:rPr>
                <w:rStyle w:val="Hyperlink"/>
              </w:rPr>
              <w:t>li</w:t>
            </w:r>
            <w:r w:rsidR="00BD5796" w:rsidRPr="007B0C50">
              <w:rPr>
                <w:rStyle w:val="Hyperlink"/>
              </w:rPr>
              <w:t>n</w:t>
            </w:r>
            <w:r w:rsidR="00BD5796" w:rsidRPr="007B0C50">
              <w:rPr>
                <w:rStyle w:val="Hyperlink"/>
              </w:rPr>
              <w:t>k</w:t>
            </w:r>
            <w:r>
              <w:rPr>
                <w:rStyle w:val="Hyperlink"/>
              </w:rPr>
              <w:fldChar w:fldCharType="end"/>
            </w:r>
            <w:bookmarkEnd w:id="11"/>
            <w:r w:rsidR="00BD5796">
              <w:t>)</w:t>
            </w:r>
          </w:p>
          <w:p w14:paraId="3D3C32F3" w14:textId="77777777" w:rsidR="00DE2067" w:rsidRDefault="00DE2067" w:rsidP="00DE2067">
            <w:pPr>
              <w:pStyle w:val="ListParagraph"/>
            </w:pPr>
            <w:r w:rsidRPr="00705B7E">
              <w:rPr>
                <w:b/>
                <w:bCs w:val="0"/>
              </w:rPr>
              <w:t xml:space="preserve">Colombia's local currency bonds sell off </w:t>
            </w:r>
            <w:r>
              <w:rPr>
                <w:b/>
                <w:bCs w:val="0"/>
              </w:rPr>
              <w:t>as</w:t>
            </w:r>
            <w:r w:rsidRPr="00705B7E">
              <w:rPr>
                <w:b/>
                <w:bCs w:val="0"/>
              </w:rPr>
              <w:t xml:space="preserve"> pension reform</w:t>
            </w:r>
            <w:r>
              <w:rPr>
                <w:b/>
                <w:bCs w:val="0"/>
              </w:rPr>
              <w:t xml:space="preserve"> </w:t>
            </w:r>
            <w:proofErr w:type="gramStart"/>
            <w:r>
              <w:rPr>
                <w:b/>
                <w:bCs w:val="0"/>
              </w:rPr>
              <w:t>is discussed</w:t>
            </w:r>
            <w:proofErr w:type="gramEnd"/>
            <w:r>
              <w:t xml:space="preserve"> (</w:t>
            </w:r>
            <w:bookmarkStart w:id="12" w:name="E"/>
            <w:r>
              <w:fldChar w:fldCharType="begin"/>
            </w:r>
            <w:r>
              <w:instrText>HYPERLINK \l "JapaneseUSDemand"</w:instrText>
            </w:r>
            <w:r>
              <w:fldChar w:fldCharType="separate"/>
            </w:r>
            <w:r w:rsidRPr="007B0C50">
              <w:rPr>
                <w:rStyle w:val="Hyperlink"/>
              </w:rPr>
              <w:t>li</w:t>
            </w:r>
            <w:r w:rsidRPr="007B0C50">
              <w:rPr>
                <w:rStyle w:val="Hyperlink"/>
              </w:rPr>
              <w:t>n</w:t>
            </w:r>
            <w:r w:rsidRPr="007B0C50">
              <w:rPr>
                <w:rStyle w:val="Hyperlink"/>
              </w:rPr>
              <w:t>k</w:t>
            </w:r>
            <w:r>
              <w:rPr>
                <w:rStyle w:val="Hyperlink"/>
              </w:rPr>
              <w:fldChar w:fldCharType="end"/>
            </w:r>
            <w:bookmarkEnd w:id="12"/>
            <w:r>
              <w:t>)</w:t>
            </w:r>
          </w:p>
          <w:p w14:paraId="5CF75586" w14:textId="0581B426" w:rsidR="003B67DD" w:rsidRPr="008D43BD" w:rsidRDefault="003B67DD" w:rsidP="00BD5796">
            <w:pPr>
              <w:pStyle w:val="ListParagraph"/>
            </w:pPr>
            <w:r w:rsidRPr="003B67DD">
              <w:rPr>
                <w:b/>
                <w:bCs w:val="0"/>
              </w:rPr>
              <w:t>Nigeria further tightens monetary policy by reducing loan-to-deposit ratio</w:t>
            </w:r>
            <w:r>
              <w:t xml:space="preserve"> (</w:t>
            </w:r>
            <w:hyperlink w:anchor="F" w:history="1">
              <w:r w:rsidRPr="007B0C50">
                <w:rPr>
                  <w:rStyle w:val="Hyperlink"/>
                </w:rPr>
                <w:t>lin</w:t>
              </w:r>
              <w:r w:rsidRPr="007B0C50">
                <w:rPr>
                  <w:rStyle w:val="Hyperlink"/>
                </w:rPr>
                <w:t>k</w:t>
              </w:r>
            </w:hyperlink>
            <w:r>
              <w:t>)</w:t>
            </w:r>
          </w:p>
        </w:tc>
      </w:tr>
    </w:tbl>
    <w:bookmarkEnd w:id="6"/>
    <w:p w14:paraId="20B61F48" w14:textId="23B58CFD" w:rsidR="0030231B" w:rsidRPr="00F5246F" w:rsidRDefault="00C432B0" w:rsidP="00102438">
      <w:pPr>
        <w:pStyle w:val="LinksBar"/>
        <w:jc w:val="center"/>
      </w:pPr>
      <w:r>
        <w:fldChar w:fldCharType="begin"/>
      </w:r>
      <w:r>
        <w:instrText>HYPERLINK \l "MatureMarkets"</w:instrText>
      </w:r>
      <w:r>
        <w:fldChar w:fldCharType="separate"/>
      </w:r>
      <w:r w:rsidR="00102438">
        <w:rPr>
          <w:rStyle w:val="Hyperlink"/>
        </w:rPr>
        <w:t>Mature Markets</w:t>
      </w:r>
      <w:r>
        <w:rPr>
          <w:rStyle w:val="Hyperlink"/>
        </w:rPr>
        <w:fldChar w:fldCharType="end"/>
      </w:r>
      <w:r w:rsidR="00A739A7" w:rsidRPr="000B497E">
        <w:t xml:space="preserve">  </w:t>
      </w:r>
      <w:r w:rsidR="00A36B13">
        <w:t xml:space="preserve">   </w:t>
      </w:r>
      <w:r w:rsidR="00A739A7" w:rsidRPr="000B497E">
        <w:t xml:space="preserve">  </w:t>
      </w:r>
      <w:r w:rsidR="009661F5" w:rsidRPr="000B497E">
        <w:t>|</w:t>
      </w:r>
      <w:r w:rsidR="00A739A7" w:rsidRPr="000B497E">
        <w:t xml:space="preserve">   </w:t>
      </w:r>
      <w:r w:rsidR="00A36B13">
        <w:t xml:space="preserve">   </w:t>
      </w:r>
      <w:r w:rsidR="00A739A7" w:rsidRPr="000B497E">
        <w:t xml:space="preserve"> </w:t>
      </w:r>
      <w:hyperlink w:anchor="EMs" w:history="1">
        <w:r w:rsidR="009661F5" w:rsidRPr="008F76E3">
          <w:rPr>
            <w:rStyle w:val="Hyperlink"/>
          </w:rPr>
          <w:t>E</w:t>
        </w:r>
        <w:r w:rsidR="00B006BF" w:rsidRPr="008F76E3">
          <w:rPr>
            <w:rStyle w:val="Hyperlink"/>
          </w:rPr>
          <w:t>merging</w:t>
        </w:r>
        <w:r w:rsidR="00407A57" w:rsidRPr="008F76E3">
          <w:rPr>
            <w:rStyle w:val="Hyperlink"/>
          </w:rPr>
          <w:t xml:space="preserve"> Markets</w:t>
        </w:r>
      </w:hyperlink>
      <w:r w:rsidR="00A739A7" w:rsidRPr="000B497E">
        <w:t xml:space="preserve">   </w:t>
      </w:r>
      <w:r w:rsidR="00A36B13">
        <w:t xml:space="preserve">   </w:t>
      </w:r>
      <w:r w:rsidR="00A739A7" w:rsidRPr="000B497E">
        <w:t xml:space="preserve"> </w:t>
      </w:r>
      <w:r w:rsidR="009661F5" w:rsidRPr="000B497E">
        <w:t>|</w:t>
      </w:r>
      <w:r w:rsidR="00A739A7" w:rsidRPr="000B497E">
        <w:t xml:space="preserve">  </w:t>
      </w:r>
      <w:r w:rsidR="00A36B13">
        <w:t xml:space="preserve">   </w:t>
      </w:r>
      <w:r w:rsidR="00A739A7" w:rsidRPr="000B497E">
        <w:t xml:space="preserve"> </w:t>
      </w:r>
      <w:r w:rsidR="004A47E9">
        <w:t xml:space="preserve"> </w:t>
      </w:r>
      <w:hyperlink w:anchor="tables" w:history="1">
        <w:r w:rsidR="00B006BF" w:rsidRPr="008F76E3">
          <w:rPr>
            <w:rStyle w:val="Hyperlink"/>
          </w:rPr>
          <w:t>Market Tables</w:t>
        </w:r>
      </w:hyperlink>
      <w:bookmarkStart w:id="13" w:name="Top"/>
    </w:p>
    <w:bookmarkEnd w:id="13"/>
    <w:p w14:paraId="05DAC176" w14:textId="04098D78" w:rsidR="0005684A" w:rsidRPr="006F67D5" w:rsidRDefault="000807BC" w:rsidP="0038695A">
      <w:pPr>
        <w:pStyle w:val="Title1-Section"/>
      </w:pPr>
      <w:r>
        <w:t xml:space="preserve">Markets </w:t>
      </w:r>
      <w:r w:rsidR="006B5134">
        <w:t>Set</w:t>
      </w:r>
      <w:r>
        <w:t xml:space="preserve"> to Break Losing Streak</w:t>
      </w:r>
    </w:p>
    <w:bookmarkEnd w:id="7"/>
    <w:p w14:paraId="156AB5DF" w14:textId="34CDB5AF" w:rsidR="00DB4BDC" w:rsidRDefault="006B5134" w:rsidP="00961FA0">
      <w:r>
        <w:rPr>
          <w:rStyle w:val="Strong"/>
        </w:rPr>
        <w:t xml:space="preserve">After four consecutive days of declines for the S&amp;P 500 index, futures </w:t>
      </w:r>
      <w:r w:rsidR="00030C45">
        <w:rPr>
          <w:rStyle w:val="Strong"/>
        </w:rPr>
        <w:t xml:space="preserve">prices </w:t>
      </w:r>
      <w:r>
        <w:rPr>
          <w:rStyle w:val="Strong"/>
        </w:rPr>
        <w:t>now point to a higher open</w:t>
      </w:r>
      <w:r w:rsidR="00030C45">
        <w:rPr>
          <w:rStyle w:val="Strong"/>
        </w:rPr>
        <w:t>ing</w:t>
      </w:r>
      <w:r>
        <w:rPr>
          <w:rStyle w:val="Strong"/>
        </w:rPr>
        <w:t xml:space="preserve"> (+0.2%). </w:t>
      </w:r>
      <w:r w:rsidRPr="006B5134">
        <w:rPr>
          <w:rStyle w:val="Strong"/>
          <w:b w:val="0"/>
          <w:bCs w:val="0"/>
        </w:rPr>
        <w:t>Concerns about g</w:t>
      </w:r>
      <w:r w:rsidR="000807BC" w:rsidRPr="006B5134">
        <w:rPr>
          <w:rStyle w:val="Strong"/>
          <w:b w:val="0"/>
          <w:bCs w:val="0"/>
        </w:rPr>
        <w:t xml:space="preserve">eopolitical </w:t>
      </w:r>
      <w:r w:rsidR="00030C45">
        <w:rPr>
          <w:rStyle w:val="Strong"/>
          <w:b w:val="0"/>
          <w:bCs w:val="0"/>
        </w:rPr>
        <w:t>r</w:t>
      </w:r>
      <w:r w:rsidR="000807BC" w:rsidRPr="006B5134">
        <w:rPr>
          <w:rStyle w:val="Strong"/>
          <w:b w:val="0"/>
          <w:bCs w:val="0"/>
        </w:rPr>
        <w:t>isk</w:t>
      </w:r>
      <w:r w:rsidRPr="006B5134">
        <w:rPr>
          <w:rStyle w:val="Strong"/>
          <w:b w:val="0"/>
          <w:bCs w:val="0"/>
        </w:rPr>
        <w:t>s</w:t>
      </w:r>
      <w:r w:rsidR="000807BC" w:rsidRPr="006B5134">
        <w:rPr>
          <w:rStyle w:val="Strong"/>
          <w:b w:val="0"/>
          <w:bCs w:val="0"/>
        </w:rPr>
        <w:t xml:space="preserve"> </w:t>
      </w:r>
      <w:r w:rsidRPr="006B5134">
        <w:rPr>
          <w:rStyle w:val="Strong"/>
          <w:b w:val="0"/>
          <w:bCs w:val="0"/>
        </w:rPr>
        <w:t>continue to l</w:t>
      </w:r>
      <w:r w:rsidR="000807BC" w:rsidRPr="006B5134">
        <w:rPr>
          <w:rStyle w:val="Strong"/>
          <w:b w:val="0"/>
          <w:bCs w:val="0"/>
        </w:rPr>
        <w:t>inger</w:t>
      </w:r>
      <w:r w:rsidR="00030C45">
        <w:rPr>
          <w:rStyle w:val="Strong"/>
          <w:b w:val="0"/>
          <w:bCs w:val="0"/>
        </w:rPr>
        <w:t xml:space="preserve">, </w:t>
      </w:r>
      <w:r w:rsidR="00A809F7">
        <w:rPr>
          <w:rStyle w:val="Strong"/>
          <w:b w:val="0"/>
          <w:bCs w:val="0"/>
        </w:rPr>
        <w:t>but oil prices declined yesterday and today, and similarly, the US dollar rally also came to a halt</w:t>
      </w:r>
      <w:r>
        <w:rPr>
          <w:rStyle w:val="Strong"/>
          <w:b w:val="0"/>
          <w:bCs w:val="0"/>
        </w:rPr>
        <w:t xml:space="preserve">. Yesterday, the technology sector led losses among US </w:t>
      </w:r>
      <w:r w:rsidR="00030C45">
        <w:rPr>
          <w:rStyle w:val="Strong"/>
          <w:b w:val="0"/>
          <w:bCs w:val="0"/>
        </w:rPr>
        <w:t>stock</w:t>
      </w:r>
      <w:r>
        <w:rPr>
          <w:rStyle w:val="Strong"/>
          <w:b w:val="0"/>
          <w:bCs w:val="0"/>
        </w:rPr>
        <w:t>s after Dutch chip-machine-maker ASML came with disappointing earnings. This sparked concern about the sustainability of th</w:t>
      </w:r>
      <w:r w:rsidR="00A809F7">
        <w:rPr>
          <w:rStyle w:val="Strong"/>
          <w:b w:val="0"/>
          <w:bCs w:val="0"/>
        </w:rPr>
        <w:t>is year’s</w:t>
      </w:r>
      <w:r>
        <w:rPr>
          <w:rStyle w:val="Strong"/>
          <w:b w:val="0"/>
          <w:bCs w:val="0"/>
        </w:rPr>
        <w:t xml:space="preserve"> rally in</w:t>
      </w:r>
      <w:r w:rsidR="00A809F7">
        <w:rPr>
          <w:rStyle w:val="Strong"/>
          <w:b w:val="0"/>
          <w:bCs w:val="0"/>
        </w:rPr>
        <w:t xml:space="preserve"> US</w:t>
      </w:r>
      <w:r>
        <w:rPr>
          <w:rStyle w:val="Strong"/>
          <w:b w:val="0"/>
          <w:bCs w:val="0"/>
        </w:rPr>
        <w:t xml:space="preserve"> technology stocks, and in particular those in the semiconductor value chain</w:t>
      </w:r>
      <w:r>
        <w:rPr>
          <w:rStyle w:val="Strong"/>
        </w:rPr>
        <w:t>.</w:t>
      </w:r>
      <w:r w:rsidR="00B962BE">
        <w:rPr>
          <w:rStyle w:val="Strong"/>
        </w:rPr>
        <w:t xml:space="preserve"> </w:t>
      </w:r>
      <w:r>
        <w:t>On Thursday however, chipmaker TSMC came with better-than-expected results</w:t>
      </w:r>
      <w:r w:rsidR="00DB4BDC">
        <w:t>, improving sentiment</w:t>
      </w:r>
      <w:r w:rsidR="00030C45">
        <w:t xml:space="preserve">. Next week, </w:t>
      </w:r>
      <w:r w:rsidR="00AF6845">
        <w:t>six out</w:t>
      </w:r>
      <w:r w:rsidR="00030C45">
        <w:t xml:space="preserve"> of</w:t>
      </w:r>
      <w:r w:rsidR="00AF6845">
        <w:t xml:space="preserve"> the</w:t>
      </w:r>
      <w:r w:rsidR="00030C45">
        <w:t xml:space="preserve"> </w:t>
      </w:r>
      <w:r w:rsidR="00AF6845">
        <w:t>“</w:t>
      </w:r>
      <w:r w:rsidR="00AF6845" w:rsidRPr="00AF6845">
        <w:t>Magnificent Seven</w:t>
      </w:r>
      <w:r w:rsidR="00AF6845">
        <w:t>”</w:t>
      </w:r>
      <w:r w:rsidR="00030C45">
        <w:t xml:space="preserve"> firms</w:t>
      </w:r>
      <w:r w:rsidR="00AF6845">
        <w:t xml:space="preserve"> </w:t>
      </w:r>
      <w:r w:rsidR="00030C45">
        <w:t>will present their earnings. Overall, global equities advanced moderately today</w:t>
      </w:r>
      <w:r w:rsidR="000217A5">
        <w:t xml:space="preserve">. European sovereign yields were stable, and US Treasury yields </w:t>
      </w:r>
      <w:r w:rsidR="001B2E76">
        <w:t>edged up</w:t>
      </w:r>
      <w:r w:rsidR="000217A5">
        <w:t xml:space="preserve"> marginally this morning</w:t>
      </w:r>
      <w:r w:rsidR="001B2E76">
        <w:t xml:space="preserve"> after initial jobless claims came in slightly lower than expected.</w:t>
      </w:r>
      <w:r w:rsidR="000217A5">
        <w:t xml:space="preserve"> </w:t>
      </w:r>
      <w:r w:rsidR="00DB4BDC">
        <w:t>T</w:t>
      </w:r>
      <w:r w:rsidR="00A809F7">
        <w:t>he</w:t>
      </w:r>
      <w:r w:rsidR="000217A5">
        <w:t xml:space="preserve"> 2-year Treasury yield declined by 5 bps yesterday, </w:t>
      </w:r>
      <w:r w:rsidR="00DB4BDC">
        <w:t xml:space="preserve">but </w:t>
      </w:r>
      <w:r w:rsidR="000217A5">
        <w:t xml:space="preserve">at 4.93% it remains 67 bps higher than at the start of 2024, and </w:t>
      </w:r>
      <w:r w:rsidR="00A809F7">
        <w:t xml:space="preserve">the </w:t>
      </w:r>
      <w:r w:rsidR="000217A5">
        <w:t xml:space="preserve">“higher for longer” </w:t>
      </w:r>
      <w:r w:rsidR="00A809F7">
        <w:t xml:space="preserve">narrative </w:t>
      </w:r>
      <w:r w:rsidR="000217A5">
        <w:t>remains an important theme in markets. Yesterday, t</w:t>
      </w:r>
      <w:r w:rsidR="00BC28FF" w:rsidRPr="00BC28FF">
        <w:t xml:space="preserve">he Fed said </w:t>
      </w:r>
      <w:r w:rsidR="000217A5" w:rsidRPr="00BC28FF">
        <w:t>in its Beige Book</w:t>
      </w:r>
      <w:r w:rsidR="000217A5">
        <w:t xml:space="preserve"> that</w:t>
      </w:r>
      <w:r w:rsidR="000217A5" w:rsidRPr="00BC28FF">
        <w:t xml:space="preserve"> </w:t>
      </w:r>
      <w:r w:rsidR="00BC28FF" w:rsidRPr="00BC28FF">
        <w:t>firms reported greater difficulty in passing on higher costs.</w:t>
      </w:r>
    </w:p>
    <w:p w14:paraId="0EB1F2DF" w14:textId="2F2ABB93" w:rsidR="00737A8B" w:rsidRPr="000F78A7" w:rsidRDefault="00961FA0" w:rsidP="00961FA0">
      <w:r w:rsidRPr="00961FA0">
        <w:rPr>
          <w:noProof/>
        </w:rPr>
        <w:drawing>
          <wp:inline distT="0" distB="0" distL="0" distR="0" wp14:anchorId="217D3FEE" wp14:editId="331A7DF7">
            <wp:extent cx="5654040" cy="3033611"/>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8075" cy="3035776"/>
                    </a:xfrm>
                    <a:prstGeom prst="rect">
                      <a:avLst/>
                    </a:prstGeom>
                    <a:noFill/>
                    <a:ln>
                      <a:noFill/>
                    </a:ln>
                  </pic:spPr>
                </pic:pic>
              </a:graphicData>
            </a:graphic>
          </wp:inline>
        </w:drawing>
      </w:r>
    </w:p>
    <w:p w14:paraId="49393CE1" w14:textId="6E30858C" w:rsidR="002A0AF2" w:rsidRDefault="002A0AF2" w:rsidP="0038695A">
      <w:pPr>
        <w:pStyle w:val="Title1-Section"/>
        <w:rPr>
          <w:rStyle w:val="Back-to-Top"/>
        </w:rPr>
      </w:pPr>
      <w:bookmarkStart w:id="14" w:name="MatureMarkets"/>
      <w:r w:rsidRPr="000F23B1">
        <w:lastRenderedPageBreak/>
        <w:t xml:space="preserve">Mature </w:t>
      </w:r>
      <w:r w:rsidRPr="00C86BC4">
        <w:t>Markets</w:t>
      </w:r>
      <w:r w:rsidR="0038695A">
        <w:t xml:space="preserve">          </w:t>
      </w:r>
      <w:bookmarkEnd w:id="14"/>
      <w:r w:rsidR="00CB6C45">
        <w:fldChar w:fldCharType="begin"/>
      </w:r>
      <w:r w:rsidR="00CB6C45">
        <w:instrText xml:space="preserve"> HYPERLINK \l "Top" </w:instrText>
      </w:r>
      <w:r w:rsidR="00CB6C45">
        <w:fldChar w:fldCharType="separate"/>
      </w:r>
      <w:r w:rsidRPr="0062358B">
        <w:rPr>
          <w:rStyle w:val="Back-to-Top"/>
        </w:rPr>
        <w:t>back to top</w:t>
      </w:r>
      <w:r w:rsidR="00CB6C45">
        <w:rPr>
          <w:rStyle w:val="Back-to-Top"/>
        </w:rPr>
        <w:fldChar w:fldCharType="end"/>
      </w:r>
    </w:p>
    <w:p w14:paraId="11D9730E" w14:textId="08FDDD80" w:rsidR="00400F0A" w:rsidRDefault="00400F0A" w:rsidP="00400F0A">
      <w:pPr>
        <w:pStyle w:val="Title2-Country"/>
        <w:keepNext w:val="0"/>
        <w:keepLines/>
        <w:widowControl w:val="0"/>
        <w:rPr>
          <w:rFonts w:asciiTheme="majorHAnsi" w:hAnsiTheme="majorHAnsi" w:cstheme="majorHAnsi"/>
          <w:noProof w:val="0"/>
        </w:rPr>
      </w:pPr>
      <w:r w:rsidRPr="00B45C75">
        <w:rPr>
          <w:rFonts w:asciiTheme="majorHAnsi" w:hAnsiTheme="majorHAnsi" w:cstheme="majorHAnsi"/>
          <w:noProof w:val="0"/>
        </w:rPr>
        <w:t>United States</w:t>
      </w:r>
    </w:p>
    <w:p w14:paraId="51AEE196" w14:textId="32859956" w:rsidR="009F2F82" w:rsidRDefault="00124D5E" w:rsidP="000964FB">
      <w:pPr>
        <w:tabs>
          <w:tab w:val="left" w:pos="1350"/>
        </w:tabs>
        <w:rPr>
          <w:rFonts w:ascii="Arial" w:hAnsi="Arial" w:cs="Arial"/>
          <w:bCs/>
        </w:rPr>
      </w:pPr>
      <w:bookmarkStart w:id="15" w:name="USVol"/>
      <w:bookmarkStart w:id="16" w:name="EMs"/>
      <w:bookmarkStart w:id="17" w:name="A"/>
      <w:bookmarkEnd w:id="15"/>
      <w:bookmarkEnd w:id="16"/>
      <w:bookmarkEnd w:id="17"/>
      <w:r>
        <w:rPr>
          <w:rFonts w:ascii="Arial" w:hAnsi="Arial" w:cs="Arial"/>
          <w:b/>
        </w:rPr>
        <w:t>Wednesday marked the fourth day in an</w:t>
      </w:r>
      <w:r w:rsidR="009F2F82" w:rsidRPr="00310B28">
        <w:rPr>
          <w:rFonts w:ascii="Arial" w:hAnsi="Arial" w:cs="Arial"/>
          <w:b/>
        </w:rPr>
        <w:t xml:space="preserve"> S&amp;P 500 </w:t>
      </w:r>
      <w:r>
        <w:rPr>
          <w:rFonts w:ascii="Arial" w:hAnsi="Arial" w:cs="Arial"/>
          <w:b/>
        </w:rPr>
        <w:t>losing streak</w:t>
      </w:r>
      <w:r w:rsidR="009F2F82" w:rsidRPr="00310B28">
        <w:rPr>
          <w:rFonts w:ascii="Arial" w:hAnsi="Arial" w:cs="Arial"/>
          <w:bCs/>
        </w:rPr>
        <w:t>. Despite yesterday's Treasury market rally offsetting Tuesday's long-term rate increase</w:t>
      </w:r>
      <w:r>
        <w:rPr>
          <w:rFonts w:ascii="Arial" w:hAnsi="Arial" w:cs="Arial"/>
          <w:bCs/>
        </w:rPr>
        <w:t>s</w:t>
      </w:r>
      <w:r w:rsidR="009F2F82" w:rsidRPr="00310B28">
        <w:rPr>
          <w:rFonts w:ascii="Arial" w:hAnsi="Arial" w:cs="Arial"/>
          <w:bCs/>
        </w:rPr>
        <w:t xml:space="preserve">, higher rates alongside lingering geopolitical tensions remain the central trading themes. The market-implied distribution of policy rate outcomes has shifted rightwards relative to two months ago, reflecting an upward shift in the path of expected policy rates given </w:t>
      </w:r>
      <w:proofErr w:type="gramStart"/>
      <w:r w:rsidR="009F2F82" w:rsidRPr="00310B28">
        <w:rPr>
          <w:rFonts w:ascii="Arial" w:hAnsi="Arial" w:cs="Arial"/>
          <w:bCs/>
        </w:rPr>
        <w:t>strong growth</w:t>
      </w:r>
      <w:proofErr w:type="gramEnd"/>
      <w:r w:rsidR="009F2F82" w:rsidRPr="00310B28">
        <w:rPr>
          <w:rFonts w:ascii="Arial" w:hAnsi="Arial" w:cs="Arial"/>
          <w:bCs/>
        </w:rPr>
        <w:t xml:space="preserve"> and the risk that inflation will remain hot.</w:t>
      </w:r>
      <w:r w:rsidR="009F2F82">
        <w:rPr>
          <w:rFonts w:ascii="Arial" w:hAnsi="Arial" w:cs="Arial"/>
          <w:bCs/>
        </w:rPr>
        <w:t xml:space="preserve"> </w:t>
      </w:r>
      <w:r w:rsidR="009F2F82" w:rsidRPr="00310B28">
        <w:rPr>
          <w:rFonts w:ascii="Arial" w:hAnsi="Arial" w:cs="Arial"/>
          <w:bCs/>
        </w:rPr>
        <w:t>Option implied volatility was marginally lower Wednesday across asset classes but still elevated. Analysts argue that there are similarities between the current situation and last summer's when the 2-year Treasury yield consolidated at around 5%. After the summer of last year, higher yields triggered fears of an eventual hard landing, and equity markets saw a correction of about 10% in the following months.</w:t>
      </w:r>
    </w:p>
    <w:p w14:paraId="1A8DBEAD" w14:textId="6229640A" w:rsidR="000964FB" w:rsidRDefault="000964FB" w:rsidP="000964FB">
      <w:pPr>
        <w:tabs>
          <w:tab w:val="left" w:pos="1350"/>
        </w:tabs>
        <w:jc w:val="center"/>
        <w:rPr>
          <w:rFonts w:ascii="Arial" w:hAnsi="Arial" w:cs="Arial"/>
          <w:bCs/>
        </w:rPr>
      </w:pPr>
      <w:r>
        <w:rPr>
          <w:noProof/>
        </w:rPr>
        <w:drawing>
          <wp:inline distT="0" distB="0" distL="0" distR="0" wp14:anchorId="68EFC30D" wp14:editId="511AA762">
            <wp:extent cx="3390900" cy="3248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90900" cy="3248025"/>
                    </a:xfrm>
                    <a:prstGeom prst="rect">
                      <a:avLst/>
                    </a:prstGeom>
                  </pic:spPr>
                </pic:pic>
              </a:graphicData>
            </a:graphic>
          </wp:inline>
        </w:drawing>
      </w:r>
    </w:p>
    <w:p w14:paraId="70BE0868" w14:textId="2292E525" w:rsidR="009C3DB8" w:rsidRDefault="00537093" w:rsidP="000964FB">
      <w:pPr>
        <w:tabs>
          <w:tab w:val="left" w:pos="1350"/>
        </w:tabs>
        <w:rPr>
          <w:rFonts w:ascii="Arial" w:hAnsi="Arial" w:cs="Arial"/>
          <w:bCs/>
        </w:rPr>
      </w:pPr>
      <w:bookmarkStart w:id="18" w:name="G"/>
      <w:bookmarkEnd w:id="18"/>
      <w:r>
        <w:rPr>
          <w:rFonts w:ascii="Arial" w:hAnsi="Arial" w:cs="Arial"/>
          <w:b/>
        </w:rPr>
        <w:t>L</w:t>
      </w:r>
      <w:r w:rsidR="009C3DB8" w:rsidRPr="00090D42">
        <w:rPr>
          <w:rFonts w:ascii="Arial" w:hAnsi="Arial" w:cs="Arial"/>
          <w:b/>
        </w:rPr>
        <w:t>arge</w:t>
      </w:r>
      <w:r>
        <w:rPr>
          <w:rFonts w:ascii="Arial" w:hAnsi="Arial" w:cs="Arial"/>
          <w:b/>
        </w:rPr>
        <w:t xml:space="preserve"> US</w:t>
      </w:r>
      <w:r w:rsidR="009C3DB8" w:rsidRPr="00090D42">
        <w:rPr>
          <w:rFonts w:ascii="Arial" w:hAnsi="Arial" w:cs="Arial"/>
          <w:b/>
        </w:rPr>
        <w:t xml:space="preserve"> banks </w:t>
      </w:r>
      <w:proofErr w:type="gramStart"/>
      <w:r w:rsidR="009C3DB8">
        <w:rPr>
          <w:rFonts w:ascii="Arial" w:hAnsi="Arial" w:cs="Arial"/>
          <w:b/>
        </w:rPr>
        <w:t xml:space="preserve">reportedly </w:t>
      </w:r>
      <w:r>
        <w:rPr>
          <w:rFonts w:ascii="Arial" w:hAnsi="Arial" w:cs="Arial"/>
          <w:b/>
        </w:rPr>
        <w:t>attempt</w:t>
      </w:r>
      <w:proofErr w:type="gramEnd"/>
      <w:r>
        <w:rPr>
          <w:rFonts w:ascii="Arial" w:hAnsi="Arial" w:cs="Arial"/>
          <w:b/>
        </w:rPr>
        <w:t xml:space="preserve"> to </w:t>
      </w:r>
      <w:r w:rsidR="009C3DB8" w:rsidRPr="00090D42">
        <w:rPr>
          <w:rFonts w:ascii="Arial" w:hAnsi="Arial" w:cs="Arial"/>
          <w:b/>
        </w:rPr>
        <w:t xml:space="preserve">serve as matchmakers </w:t>
      </w:r>
      <w:r>
        <w:rPr>
          <w:rFonts w:ascii="Arial" w:hAnsi="Arial" w:cs="Arial"/>
          <w:b/>
        </w:rPr>
        <w:t>for</w:t>
      </w:r>
      <w:r w:rsidR="009C3DB8" w:rsidRPr="00090D42">
        <w:rPr>
          <w:rFonts w:ascii="Arial" w:hAnsi="Arial" w:cs="Arial"/>
          <w:b/>
        </w:rPr>
        <w:t xml:space="preserve"> private credit</w:t>
      </w:r>
      <w:r>
        <w:rPr>
          <w:rFonts w:ascii="Arial" w:hAnsi="Arial" w:cs="Arial"/>
          <w:b/>
        </w:rPr>
        <w:t xml:space="preserve"> deals</w:t>
      </w:r>
      <w:r w:rsidR="009C3DB8" w:rsidRPr="00090D42">
        <w:rPr>
          <w:rFonts w:ascii="Arial" w:hAnsi="Arial" w:cs="Arial"/>
          <w:bCs/>
        </w:rPr>
        <w:t>. According to Bloomberg, private lenders have increasingly taken more</w:t>
      </w:r>
      <w:r w:rsidR="003B67DD">
        <w:rPr>
          <w:rFonts w:ascii="Arial" w:hAnsi="Arial" w:cs="Arial"/>
          <w:bCs/>
        </w:rPr>
        <w:t xml:space="preserve"> territory when it comes to loans to</w:t>
      </w:r>
      <w:r w:rsidR="009C3DB8" w:rsidRPr="00090D42">
        <w:rPr>
          <w:rFonts w:ascii="Arial" w:hAnsi="Arial" w:cs="Arial"/>
          <w:bCs/>
        </w:rPr>
        <w:t xml:space="preserve"> risk</w:t>
      </w:r>
      <w:r w:rsidR="003B67DD">
        <w:rPr>
          <w:rFonts w:ascii="Arial" w:hAnsi="Arial" w:cs="Arial"/>
          <w:bCs/>
        </w:rPr>
        <w:t>ier</w:t>
      </w:r>
      <w:r w:rsidR="009C3DB8" w:rsidRPr="00090D42">
        <w:rPr>
          <w:rFonts w:ascii="Arial" w:hAnsi="Arial" w:cs="Arial"/>
          <w:bCs/>
        </w:rPr>
        <w:t xml:space="preserve"> </w:t>
      </w:r>
      <w:r w:rsidR="003B67DD">
        <w:rPr>
          <w:rFonts w:ascii="Arial" w:hAnsi="Arial" w:cs="Arial"/>
          <w:bCs/>
        </w:rPr>
        <w:t>firms</w:t>
      </w:r>
      <w:r w:rsidR="009C3DB8" w:rsidRPr="00090D42">
        <w:rPr>
          <w:rFonts w:ascii="Arial" w:hAnsi="Arial" w:cs="Arial"/>
          <w:bCs/>
        </w:rPr>
        <w:t xml:space="preserve">, </w:t>
      </w:r>
      <w:r w:rsidR="003B67DD">
        <w:rPr>
          <w:rFonts w:ascii="Arial" w:hAnsi="Arial" w:cs="Arial"/>
          <w:bCs/>
        </w:rPr>
        <w:t>leading</w:t>
      </w:r>
      <w:r w:rsidR="009C3DB8" w:rsidRPr="00090D42">
        <w:rPr>
          <w:rFonts w:ascii="Arial" w:hAnsi="Arial" w:cs="Arial"/>
          <w:bCs/>
        </w:rPr>
        <w:t xml:space="preserve"> banks to consider other ways to get involved in th</w:t>
      </w:r>
      <w:r w:rsidR="009C3DB8">
        <w:rPr>
          <w:rFonts w:ascii="Arial" w:hAnsi="Arial" w:cs="Arial"/>
          <w:bCs/>
        </w:rPr>
        <w:t>is</w:t>
      </w:r>
      <w:r w:rsidR="009C3DB8" w:rsidRPr="00090D42">
        <w:rPr>
          <w:rFonts w:ascii="Arial" w:hAnsi="Arial" w:cs="Arial"/>
          <w:bCs/>
        </w:rPr>
        <w:t xml:space="preserve"> lucrative </w:t>
      </w:r>
      <w:r w:rsidR="009C3DB8">
        <w:rPr>
          <w:rFonts w:ascii="Arial" w:hAnsi="Arial" w:cs="Arial"/>
          <w:bCs/>
        </w:rPr>
        <w:t xml:space="preserve">and growing </w:t>
      </w:r>
      <w:r w:rsidR="009C3DB8" w:rsidRPr="00090D42">
        <w:rPr>
          <w:rFonts w:ascii="Arial" w:hAnsi="Arial" w:cs="Arial"/>
          <w:bCs/>
        </w:rPr>
        <w:t xml:space="preserve">area. To reclaim </w:t>
      </w:r>
      <w:r w:rsidR="009C3DB8">
        <w:rPr>
          <w:rFonts w:ascii="Arial" w:hAnsi="Arial" w:cs="Arial"/>
          <w:bCs/>
        </w:rPr>
        <w:t xml:space="preserve">the </w:t>
      </w:r>
      <w:r w:rsidR="009C3DB8" w:rsidRPr="00090D42">
        <w:rPr>
          <w:rFonts w:ascii="Arial" w:hAnsi="Arial" w:cs="Arial"/>
          <w:bCs/>
        </w:rPr>
        <w:t xml:space="preserve">business their leveraged lending desks have lost, banks </w:t>
      </w:r>
      <w:proofErr w:type="gramStart"/>
      <w:r w:rsidR="003B67DD">
        <w:rPr>
          <w:rFonts w:ascii="Arial" w:hAnsi="Arial" w:cs="Arial"/>
          <w:bCs/>
        </w:rPr>
        <w:t>reportedly</w:t>
      </w:r>
      <w:r w:rsidR="009C3DB8" w:rsidRPr="00090D42">
        <w:rPr>
          <w:rFonts w:ascii="Arial" w:hAnsi="Arial" w:cs="Arial"/>
          <w:bCs/>
        </w:rPr>
        <w:t xml:space="preserve"> provide</w:t>
      </w:r>
      <w:proofErr w:type="gramEnd"/>
      <w:r w:rsidR="009C3DB8" w:rsidRPr="00090D42">
        <w:rPr>
          <w:rFonts w:ascii="Arial" w:hAnsi="Arial" w:cs="Arial"/>
          <w:bCs/>
        </w:rPr>
        <w:t xml:space="preserve"> matchmaking services on recent transactions between smaller companies looking for loans and private lenders eager to provide financing, where large banks can leverage their broad network of corporate clients for a fee</w:t>
      </w:r>
      <w:r w:rsidR="009C3DB8">
        <w:rPr>
          <w:rFonts w:ascii="Arial" w:hAnsi="Arial" w:cs="Arial"/>
          <w:bCs/>
        </w:rPr>
        <w:t>, according to Bloomberg.</w:t>
      </w:r>
    </w:p>
    <w:p w14:paraId="0ACDA4F6" w14:textId="59EDD445" w:rsidR="000964FB" w:rsidRDefault="000964FB" w:rsidP="000964FB">
      <w:pPr>
        <w:tabs>
          <w:tab w:val="left" w:pos="1350"/>
        </w:tabs>
        <w:jc w:val="center"/>
        <w:rPr>
          <w:rFonts w:ascii="Arial" w:hAnsi="Arial" w:cs="Arial"/>
          <w:bCs/>
        </w:rPr>
      </w:pPr>
      <w:r>
        <w:rPr>
          <w:noProof/>
        </w:rPr>
        <w:drawing>
          <wp:inline distT="0" distB="0" distL="0" distR="0" wp14:anchorId="13F53DE6" wp14:editId="7948DD97">
            <wp:extent cx="3667125" cy="16647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78532" cy="1669961"/>
                    </a:xfrm>
                    <a:prstGeom prst="rect">
                      <a:avLst/>
                    </a:prstGeom>
                  </pic:spPr>
                </pic:pic>
              </a:graphicData>
            </a:graphic>
          </wp:inline>
        </w:drawing>
      </w:r>
    </w:p>
    <w:p w14:paraId="708ABE8A" w14:textId="0B3C9452" w:rsidR="009F2F82" w:rsidRDefault="009F2F82" w:rsidP="000964FB">
      <w:pPr>
        <w:tabs>
          <w:tab w:val="left" w:pos="1350"/>
        </w:tabs>
        <w:rPr>
          <w:rFonts w:ascii="Arial" w:hAnsi="Arial" w:cs="Arial"/>
          <w:bCs/>
        </w:rPr>
      </w:pPr>
      <w:bookmarkStart w:id="19" w:name="B"/>
      <w:bookmarkEnd w:id="19"/>
      <w:r w:rsidRPr="000724AB">
        <w:rPr>
          <w:rFonts w:ascii="Arial" w:hAnsi="Arial" w:cs="Arial"/>
          <w:b/>
        </w:rPr>
        <w:lastRenderedPageBreak/>
        <w:t>'Higher for longer' makes corporates more conservative in managing their capital</w:t>
      </w:r>
      <w:r w:rsidRPr="000724AB">
        <w:rPr>
          <w:rFonts w:ascii="Arial" w:hAnsi="Arial" w:cs="Arial"/>
          <w:bCs/>
        </w:rPr>
        <w:t xml:space="preserve">. Non-financial corporations built up a record cash buffer during the Covid pandemic, partly thanks to unprecedented policy support. The buffer has unwound since then, leaving cash balances near historical averages. According to GS analysts, in 2021 and 2022, the key themes for corporates' cash spending were shareholder-friendly: M&amp;A, dividends, and share buybacks. However, </w:t>
      </w:r>
      <w:r>
        <w:rPr>
          <w:rFonts w:ascii="Arial" w:hAnsi="Arial" w:cs="Arial"/>
          <w:bCs/>
        </w:rPr>
        <w:t xml:space="preserve">the </w:t>
      </w:r>
      <w:r w:rsidRPr="000724AB">
        <w:rPr>
          <w:rFonts w:ascii="Arial" w:hAnsi="Arial" w:cs="Arial"/>
          <w:bCs/>
        </w:rPr>
        <w:t xml:space="preserve">fiscal year 2023 </w:t>
      </w:r>
      <w:r>
        <w:rPr>
          <w:rFonts w:ascii="Arial" w:hAnsi="Arial" w:cs="Arial"/>
          <w:bCs/>
        </w:rPr>
        <w:t>was different:</w:t>
      </w:r>
      <w:r w:rsidRPr="000724AB">
        <w:rPr>
          <w:rFonts w:ascii="Arial" w:hAnsi="Arial" w:cs="Arial"/>
          <w:bCs/>
        </w:rPr>
        <w:t xml:space="preserve"> In both investment grade and high yield, </w:t>
      </w:r>
      <w:r w:rsidR="00156F5E">
        <w:rPr>
          <w:rFonts w:ascii="Arial" w:hAnsi="Arial" w:cs="Arial"/>
          <w:bCs/>
        </w:rPr>
        <w:t>board</w:t>
      </w:r>
      <w:r w:rsidRPr="000724AB">
        <w:rPr>
          <w:rFonts w:ascii="Arial" w:hAnsi="Arial" w:cs="Arial"/>
          <w:bCs/>
        </w:rPr>
        <w:t>s have increased their bondholder-friendly spending, with capex and long-term debt reduction increasing year</w:t>
      </w:r>
      <w:r w:rsidR="00156F5E">
        <w:rPr>
          <w:rFonts w:ascii="Arial" w:hAnsi="Arial" w:cs="Arial"/>
          <w:bCs/>
        </w:rPr>
        <w:t>-</w:t>
      </w:r>
      <w:r w:rsidRPr="000724AB">
        <w:rPr>
          <w:rFonts w:ascii="Arial" w:hAnsi="Arial" w:cs="Arial"/>
          <w:bCs/>
        </w:rPr>
        <w:t>over</w:t>
      </w:r>
      <w:r w:rsidR="00156F5E">
        <w:rPr>
          <w:rFonts w:ascii="Arial" w:hAnsi="Arial" w:cs="Arial"/>
          <w:bCs/>
        </w:rPr>
        <w:t>-</w:t>
      </w:r>
      <w:r w:rsidRPr="000724AB">
        <w:rPr>
          <w:rFonts w:ascii="Arial" w:hAnsi="Arial" w:cs="Arial"/>
          <w:bCs/>
        </w:rPr>
        <w:t xml:space="preserve">year as a percentage of total spending, while dividends/stock buybacks and M&amp;A decreased. This shift in spending may signal a focus more on "weathering the storm" with stability front and center rather than prioritizing inorganic growth and paying shareholders. Analysts see that a higher-for-longer environment creates stronger incentives </w:t>
      </w:r>
      <w:r>
        <w:rPr>
          <w:rFonts w:ascii="Arial" w:hAnsi="Arial" w:cs="Arial"/>
          <w:bCs/>
        </w:rPr>
        <w:t xml:space="preserve">for firms </w:t>
      </w:r>
      <w:r w:rsidRPr="000724AB">
        <w:rPr>
          <w:rFonts w:ascii="Arial" w:hAnsi="Arial" w:cs="Arial"/>
          <w:bCs/>
        </w:rPr>
        <w:t xml:space="preserve">to manage capital conservatively. </w:t>
      </w:r>
    </w:p>
    <w:p w14:paraId="32285430" w14:textId="3734AFD6" w:rsidR="000964FB" w:rsidRDefault="000964FB" w:rsidP="000964FB">
      <w:pPr>
        <w:tabs>
          <w:tab w:val="left" w:pos="1350"/>
        </w:tabs>
        <w:jc w:val="center"/>
        <w:rPr>
          <w:rFonts w:ascii="Arial" w:hAnsi="Arial" w:cs="Arial"/>
          <w:bCs/>
        </w:rPr>
      </w:pPr>
      <w:r>
        <w:rPr>
          <w:noProof/>
        </w:rPr>
        <w:drawing>
          <wp:inline distT="0" distB="0" distL="0" distR="0" wp14:anchorId="7B4A88C5" wp14:editId="44046453">
            <wp:extent cx="5438775" cy="2557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44248" cy="2560414"/>
                    </a:xfrm>
                    <a:prstGeom prst="rect">
                      <a:avLst/>
                    </a:prstGeom>
                  </pic:spPr>
                </pic:pic>
              </a:graphicData>
            </a:graphic>
          </wp:inline>
        </w:drawing>
      </w:r>
    </w:p>
    <w:p w14:paraId="784168AC" w14:textId="5A545A96" w:rsidR="009F2F82" w:rsidRPr="00E41A5D" w:rsidRDefault="00E41A5D" w:rsidP="00E41A5D">
      <w:pPr>
        <w:tabs>
          <w:tab w:val="left" w:pos="1350"/>
        </w:tabs>
        <w:spacing w:after="0"/>
        <w:rPr>
          <w:rFonts w:ascii="Arial" w:hAnsi="Arial" w:cs="Arial"/>
          <w:b/>
        </w:rPr>
      </w:pPr>
      <w:r w:rsidRPr="00E41A5D">
        <w:rPr>
          <w:rFonts w:ascii="Arial" w:hAnsi="Arial" w:cs="Arial"/>
          <w:b/>
        </w:rPr>
        <w:t>Euro</w:t>
      </w:r>
      <w:r>
        <w:rPr>
          <w:rFonts w:ascii="Arial" w:hAnsi="Arial" w:cs="Arial"/>
          <w:b/>
        </w:rPr>
        <w:t xml:space="preserve"> Area</w:t>
      </w:r>
    </w:p>
    <w:p w14:paraId="692BC813" w14:textId="5E75A549" w:rsidR="00E41A5D" w:rsidRDefault="00E41A5D" w:rsidP="000964FB">
      <w:pPr>
        <w:pStyle w:val="Title2-Country"/>
        <w:keepNext w:val="0"/>
        <w:spacing w:after="280" w:line="276" w:lineRule="auto"/>
        <w:rPr>
          <w:b w:val="0"/>
          <w:bCs w:val="0"/>
          <w:color w:val="auto"/>
        </w:rPr>
      </w:pPr>
      <w:r>
        <w:t xml:space="preserve">European equities were mostly trading in the green this morning with the STOXX 600 index 0.1% higher. </w:t>
      </w:r>
      <w:r>
        <w:rPr>
          <w:b w:val="0"/>
          <w:bCs w:val="0"/>
        </w:rPr>
        <w:t>Most sectors gained, with the banking sector up 0.8%, while the energy sector (-1.1%) underperformed.</w:t>
      </w:r>
      <w:r>
        <w:t xml:space="preserve"> </w:t>
      </w:r>
      <w:r w:rsidRPr="00E41A5D">
        <w:rPr>
          <w:b w:val="0"/>
          <w:bCs w:val="0"/>
        </w:rPr>
        <w:t>Euro area sovereign yields</w:t>
      </w:r>
      <w:r>
        <w:rPr>
          <w:b w:val="0"/>
          <w:bCs w:val="0"/>
        </w:rPr>
        <w:t xml:space="preserve"> traded sideways</w:t>
      </w:r>
      <w:r w:rsidRPr="00E41A5D">
        <w:rPr>
          <w:b w:val="0"/>
          <w:bCs w:val="0"/>
        </w:rPr>
        <w:t>,</w:t>
      </w:r>
      <w:r>
        <w:t xml:space="preserve"> </w:t>
      </w:r>
      <w:r>
        <w:rPr>
          <w:b w:val="0"/>
          <w:bCs w:val="0"/>
        </w:rPr>
        <w:t>after declines yesterday. Contacts noted that yesterday’s moves were helped by the decline in oil and gas prices. Commerzbank analysts also highlight that the 10y bund yields is finding support below 2.5% with encouraging UST price action and also ECB commentary that continue to lean dovish.</w:t>
      </w:r>
      <w:r>
        <w:t xml:space="preserve"> </w:t>
      </w:r>
      <w:r w:rsidRPr="00E41A5D">
        <w:rPr>
          <w:b w:val="0"/>
          <w:bCs w:val="0"/>
        </w:rPr>
        <w:t>The euro was little changed against the dollar trading at around 1.0672.</w:t>
      </w:r>
      <w:r>
        <w:t xml:space="preserve"> </w:t>
      </w:r>
      <w:r>
        <w:rPr>
          <w:b w:val="0"/>
          <w:bCs w:val="0"/>
        </w:rPr>
        <w:t>ING analysts expect the euro to struggle to sustain a move above 1.07.</w:t>
      </w:r>
    </w:p>
    <w:p w14:paraId="4FA77F9B" w14:textId="77777777" w:rsidR="00E41A5D" w:rsidRDefault="00E41A5D" w:rsidP="000964FB">
      <w:pPr>
        <w:pStyle w:val="Title2-Country"/>
        <w:keepNext w:val="0"/>
        <w:spacing w:after="280" w:line="276" w:lineRule="auto"/>
        <w:jc w:val="center"/>
        <w:rPr>
          <w:b w:val="0"/>
          <w:bCs w:val="0"/>
          <w:lang w:val="en"/>
        </w:rPr>
      </w:pPr>
      <w:r>
        <w:drawing>
          <wp:inline distT="0" distB="0" distL="0" distR="0" wp14:anchorId="2C9A9513" wp14:editId="38BD6ED7">
            <wp:extent cx="3114675" cy="168716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33774" cy="1697515"/>
                    </a:xfrm>
                    <a:prstGeom prst="rect">
                      <a:avLst/>
                    </a:prstGeom>
                    <a:noFill/>
                    <a:ln>
                      <a:noFill/>
                    </a:ln>
                  </pic:spPr>
                </pic:pic>
              </a:graphicData>
            </a:graphic>
          </wp:inline>
        </w:drawing>
      </w:r>
    </w:p>
    <w:p w14:paraId="474E9442" w14:textId="33A89D3E" w:rsidR="00E41A5D" w:rsidRPr="00E41A5D" w:rsidRDefault="00E41A5D" w:rsidP="000964FB">
      <w:pPr>
        <w:pStyle w:val="Title2-Country"/>
        <w:keepNext w:val="0"/>
        <w:spacing w:after="280" w:line="276" w:lineRule="auto"/>
        <w:rPr>
          <w:b w:val="0"/>
          <w:bCs w:val="0"/>
          <w:color w:val="auto"/>
        </w:rPr>
      </w:pPr>
      <w:r>
        <w:rPr>
          <w:lang w:val="en"/>
        </w:rPr>
        <w:t xml:space="preserve">ECB commentary continues to be perceived as leaning to the dovish side. </w:t>
      </w:r>
      <w:r>
        <w:rPr>
          <w:b w:val="0"/>
          <w:bCs w:val="0"/>
          <w:lang w:val="en"/>
        </w:rPr>
        <w:t xml:space="preserve">Yesterday, ECB Governing Council (GC) member Centeno commented that it is about time to “change this monetary policy”, while two representatives seen to be in the hawkish camp, GC members Nagel and Holzmann, also spoke in favor </w:t>
      </w:r>
      <w:r>
        <w:rPr>
          <w:b w:val="0"/>
          <w:bCs w:val="0"/>
          <w:lang w:val="en"/>
        </w:rPr>
        <w:lastRenderedPageBreak/>
        <w:t xml:space="preserve">of interest rate cuts. Holzmann, however, said that he is not yet fully convinced that the easing cycle should start in June pointing to higher oil prices and wages as risk factors. Overall, contacts note that the ECB appears to be moving ever closer to cutting interest rates in the near future. </w:t>
      </w:r>
      <w:r w:rsidRPr="00E41A5D">
        <w:rPr>
          <w:b w:val="0"/>
          <w:bCs w:val="0"/>
          <w:lang w:val="en"/>
        </w:rPr>
        <w:t>Despite the geopolitical risks, markets remain almost certain about a 25bps cut in June with roughly 22bps of easing priced in</w:t>
      </w:r>
      <w:r>
        <w:rPr>
          <w:b w:val="0"/>
          <w:bCs w:val="0"/>
          <w:lang w:val="en"/>
        </w:rPr>
        <w:t xml:space="preserve">, and </w:t>
      </w:r>
      <w:r w:rsidRPr="00E41A5D">
        <w:rPr>
          <w:b w:val="0"/>
          <w:bCs w:val="0"/>
          <w:lang w:val="en"/>
        </w:rPr>
        <w:t>continue to price</w:t>
      </w:r>
      <w:r>
        <w:rPr>
          <w:b w:val="0"/>
          <w:bCs w:val="0"/>
          <w:lang w:val="en"/>
        </w:rPr>
        <w:t xml:space="preserve"> in about 80bps of ECB rate cuts in 2024. </w:t>
      </w:r>
      <w:r w:rsidRPr="00E41A5D">
        <w:rPr>
          <w:b w:val="0"/>
          <w:bCs w:val="0"/>
          <w:lang w:val="en"/>
        </w:rPr>
        <w:t>In the meantime ECB Board member Schnabel commented that the ECB should reconsider how it forecasts growth and inflation.</w:t>
      </w:r>
    </w:p>
    <w:p w14:paraId="2118BFB7" w14:textId="384FD287" w:rsidR="001E7759" w:rsidRPr="001E7759" w:rsidRDefault="001E7759" w:rsidP="000964FB">
      <w:pPr>
        <w:pStyle w:val="Title2-Country"/>
        <w:keepNext w:val="0"/>
        <w:widowControl w:val="0"/>
        <w:spacing w:before="120" w:line="276" w:lineRule="auto"/>
        <w:rPr>
          <w:noProof w:val="0"/>
          <w:color w:val="auto"/>
        </w:rPr>
      </w:pPr>
      <w:r w:rsidRPr="001E7759">
        <w:rPr>
          <w:noProof w:val="0"/>
          <w:color w:val="auto"/>
        </w:rPr>
        <w:t>United Kingdom</w:t>
      </w:r>
    </w:p>
    <w:p w14:paraId="3FD2D52E" w14:textId="6F5816E4" w:rsidR="001E7759" w:rsidRPr="001E7759" w:rsidRDefault="001E7759" w:rsidP="000964FB">
      <w:pPr>
        <w:rPr>
          <w:rFonts w:ascii="Arial" w:eastAsia="Arial" w:hAnsi="Arial" w:cs="Arial"/>
        </w:rPr>
      </w:pPr>
      <w:bookmarkStart w:id="20" w:name="H"/>
      <w:bookmarkEnd w:id="20"/>
      <w:r w:rsidRPr="001E7759">
        <w:rPr>
          <w:rFonts w:ascii="Arial" w:eastAsia="Arial" w:hAnsi="Arial" w:cs="Arial"/>
          <w:b/>
          <w:bCs/>
          <w:color w:val="000000"/>
        </w:rPr>
        <w:t>Analysts no longer expect a rate cut in May</w:t>
      </w:r>
      <w:r>
        <w:rPr>
          <w:rFonts w:ascii="Arial" w:eastAsia="Arial" w:hAnsi="Arial" w:cs="Arial"/>
          <w:b/>
          <w:bCs/>
          <w:color w:val="000000"/>
        </w:rPr>
        <w:t xml:space="preserve">. </w:t>
      </w:r>
      <w:r>
        <w:rPr>
          <w:rFonts w:ascii="Arial" w:eastAsia="Arial" w:hAnsi="Arial" w:cs="Arial"/>
          <w:color w:val="000000"/>
        </w:rPr>
        <w:t>T</w:t>
      </w:r>
      <w:r w:rsidRPr="001E7759">
        <w:rPr>
          <w:rFonts w:ascii="Arial" w:eastAsia="Arial" w:hAnsi="Arial" w:cs="Arial"/>
          <w:color w:val="000000"/>
        </w:rPr>
        <w:t xml:space="preserve">aking into consideration the revised more hawkish expected path for US rates, UK data releases this week showing less softening than anticipated, </w:t>
      </w:r>
      <w:proofErr w:type="gramStart"/>
      <w:r w:rsidRPr="001E7759">
        <w:rPr>
          <w:rFonts w:ascii="Arial" w:eastAsia="Arial" w:hAnsi="Arial" w:cs="Arial"/>
          <w:color w:val="000000"/>
        </w:rPr>
        <w:t>and also</w:t>
      </w:r>
      <w:proofErr w:type="gramEnd"/>
      <w:r w:rsidRPr="001E7759">
        <w:rPr>
          <w:rFonts w:ascii="Arial" w:eastAsia="Arial" w:hAnsi="Arial" w:cs="Arial"/>
          <w:color w:val="000000"/>
        </w:rPr>
        <w:t xml:space="preserve"> higher implied uncertainty against a backdrop of geopolitical tensions, analysts have changed their calls and see </w:t>
      </w:r>
      <w:r>
        <w:rPr>
          <w:rFonts w:ascii="Arial" w:eastAsia="Arial" w:hAnsi="Arial" w:cs="Arial"/>
          <w:color w:val="000000"/>
        </w:rPr>
        <w:t>Bank of England (</w:t>
      </w:r>
      <w:r w:rsidRPr="001E7759">
        <w:rPr>
          <w:rFonts w:ascii="Arial" w:eastAsia="Arial" w:hAnsi="Arial" w:cs="Arial"/>
          <w:color w:val="000000"/>
        </w:rPr>
        <w:t>BoE</w:t>
      </w:r>
      <w:r>
        <w:rPr>
          <w:rFonts w:ascii="Arial" w:eastAsia="Arial" w:hAnsi="Arial" w:cs="Arial"/>
          <w:color w:val="000000"/>
        </w:rPr>
        <w:t>)</w:t>
      </w:r>
      <w:r w:rsidRPr="001E7759">
        <w:rPr>
          <w:rFonts w:ascii="Arial" w:eastAsia="Arial" w:hAnsi="Arial" w:cs="Arial"/>
          <w:color w:val="000000"/>
        </w:rPr>
        <w:t xml:space="preserve"> rate cuts starting later. Morgan Stanley, for example, now expect</w:t>
      </w:r>
      <w:r>
        <w:rPr>
          <w:rFonts w:ascii="Arial" w:eastAsia="Arial" w:hAnsi="Arial" w:cs="Arial"/>
          <w:color w:val="000000"/>
        </w:rPr>
        <w:t>s</w:t>
      </w:r>
      <w:r w:rsidRPr="001E7759">
        <w:rPr>
          <w:rFonts w:ascii="Arial" w:eastAsia="Arial" w:hAnsi="Arial" w:cs="Arial"/>
          <w:color w:val="000000"/>
        </w:rPr>
        <w:t xml:space="preserve"> the first rate cut in June (as opposed to May) and Deutsche Bank analysts have also pushed out BoE rate cut expectations from May to June</w:t>
      </w:r>
      <w:r>
        <w:rPr>
          <w:rFonts w:ascii="Arial" w:eastAsia="Arial" w:hAnsi="Arial" w:cs="Arial"/>
          <w:color w:val="000000"/>
        </w:rPr>
        <w:t>. Both still expect</w:t>
      </w:r>
      <w:r w:rsidRPr="001E7759">
        <w:rPr>
          <w:rFonts w:ascii="Arial" w:eastAsia="Arial" w:hAnsi="Arial" w:cs="Arial"/>
          <w:color w:val="000000"/>
        </w:rPr>
        <w:t xml:space="preserve"> 75bps of </w:t>
      </w:r>
      <w:r>
        <w:rPr>
          <w:rFonts w:ascii="Arial" w:eastAsia="Arial" w:hAnsi="Arial" w:cs="Arial"/>
          <w:color w:val="000000"/>
        </w:rPr>
        <w:t xml:space="preserve">total </w:t>
      </w:r>
      <w:r w:rsidRPr="001E7759">
        <w:rPr>
          <w:rFonts w:ascii="Arial" w:eastAsia="Arial" w:hAnsi="Arial" w:cs="Arial"/>
          <w:color w:val="000000"/>
        </w:rPr>
        <w:t>rate cuts in 2024. In the meantime, the pound softened yesterday in later trad</w:t>
      </w:r>
      <w:r>
        <w:rPr>
          <w:rFonts w:ascii="Arial" w:eastAsia="Arial" w:hAnsi="Arial" w:cs="Arial"/>
          <w:color w:val="000000"/>
        </w:rPr>
        <w:t>ing</w:t>
      </w:r>
      <w:r w:rsidRPr="001E7759">
        <w:rPr>
          <w:rFonts w:ascii="Arial" w:eastAsia="Arial" w:hAnsi="Arial" w:cs="Arial"/>
          <w:color w:val="000000"/>
        </w:rPr>
        <w:t xml:space="preserve"> following dovish remarks from BoE Governor Bailey, who noted that the UK and Europe are facing less of an inflation threat than the US. </w:t>
      </w:r>
      <w:r>
        <w:rPr>
          <w:rFonts w:ascii="Arial" w:eastAsia="Arial" w:hAnsi="Arial" w:cs="Arial"/>
          <w:color w:val="000000"/>
        </w:rPr>
        <w:t>Implied market pricing deviates from above-mentioned analyst expectations, with</w:t>
      </w:r>
      <w:r w:rsidRPr="001E7759">
        <w:rPr>
          <w:rFonts w:ascii="Arial" w:eastAsia="Arial" w:hAnsi="Arial" w:cs="Arial"/>
          <w:color w:val="000000"/>
        </w:rPr>
        <w:t xml:space="preserve"> </w:t>
      </w:r>
      <w:proofErr w:type="gramStart"/>
      <w:r w:rsidRPr="001E7759">
        <w:rPr>
          <w:rFonts w:ascii="Arial" w:eastAsia="Arial" w:hAnsi="Arial" w:cs="Arial"/>
          <w:color w:val="000000"/>
        </w:rPr>
        <w:t>roughly 45bps</w:t>
      </w:r>
      <w:proofErr w:type="gramEnd"/>
      <w:r w:rsidRPr="001E7759">
        <w:rPr>
          <w:rFonts w:ascii="Arial" w:eastAsia="Arial" w:hAnsi="Arial" w:cs="Arial"/>
          <w:color w:val="000000"/>
        </w:rPr>
        <w:t xml:space="preserve"> of BoE rate cuts </w:t>
      </w:r>
      <w:r>
        <w:rPr>
          <w:rFonts w:ascii="Arial" w:eastAsia="Arial" w:hAnsi="Arial" w:cs="Arial"/>
          <w:color w:val="000000"/>
        </w:rPr>
        <w:t>priced for</w:t>
      </w:r>
      <w:r w:rsidRPr="001E7759">
        <w:rPr>
          <w:rFonts w:ascii="Arial" w:eastAsia="Arial" w:hAnsi="Arial" w:cs="Arial"/>
          <w:color w:val="000000"/>
        </w:rPr>
        <w:t xml:space="preserve"> 2024, compared to 56bps priced in at the end of last week, </w:t>
      </w:r>
      <w:r>
        <w:rPr>
          <w:rFonts w:ascii="Arial" w:eastAsia="Arial" w:hAnsi="Arial" w:cs="Arial"/>
          <w:color w:val="000000"/>
        </w:rPr>
        <w:t>and</w:t>
      </w:r>
      <w:r w:rsidRPr="001E7759">
        <w:rPr>
          <w:rFonts w:ascii="Arial" w:eastAsia="Arial" w:hAnsi="Arial" w:cs="Arial"/>
          <w:color w:val="000000"/>
        </w:rPr>
        <w:t xml:space="preserve"> the first rate cut fully priced by September.</w:t>
      </w:r>
      <w:r w:rsidRPr="001E7759">
        <w:rPr>
          <w:rFonts w:ascii="Arial" w:eastAsia="Arial" w:hAnsi="Arial" w:cs="Arial"/>
          <w:b/>
          <w:bCs/>
          <w:color w:val="000000"/>
        </w:rPr>
        <w:t xml:space="preserve"> </w:t>
      </w:r>
      <w:r w:rsidRPr="001E7759">
        <w:rPr>
          <w:rFonts w:ascii="Arial" w:eastAsia="Arial" w:hAnsi="Arial" w:cs="Arial"/>
          <w:color w:val="000000"/>
        </w:rPr>
        <w:t>ING analysts expect market pricing for BoE rate cuts to increase in the coming months, which in turn could weigh on the pound. The pound was trading stronger against the dollar this morning (+0.2% at around 1.2474) and 10y gilts yields were marginally lower (-4bps to 4.22%).</w:t>
      </w:r>
    </w:p>
    <w:p w14:paraId="0F6BA8F7" w14:textId="113DBF00" w:rsidR="001E7759" w:rsidRPr="001E7759" w:rsidRDefault="001E7759" w:rsidP="000964FB">
      <w:pPr>
        <w:jc w:val="center"/>
        <w:rPr>
          <w:rFonts w:ascii="Arial" w:eastAsia="Arial" w:hAnsi="Arial" w:cs="Arial"/>
        </w:rPr>
      </w:pPr>
      <w:r w:rsidRPr="001E7759">
        <w:rPr>
          <w:rFonts w:ascii="Arial" w:eastAsia="Arial" w:hAnsi="Arial" w:cs="Arial"/>
          <w:noProof/>
          <w:color w:val="000000"/>
        </w:rPr>
        <w:drawing>
          <wp:inline distT="0" distB="0" distL="0" distR="0" wp14:anchorId="303DC8A6" wp14:editId="2B614B8F">
            <wp:extent cx="3524250" cy="2322732"/>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527045" cy="2324574"/>
                    </a:xfrm>
                    <a:prstGeom prst="rect">
                      <a:avLst/>
                    </a:prstGeom>
                    <a:noFill/>
                    <a:ln>
                      <a:noFill/>
                    </a:ln>
                  </pic:spPr>
                </pic:pic>
              </a:graphicData>
            </a:graphic>
          </wp:inline>
        </w:drawing>
      </w:r>
    </w:p>
    <w:p w14:paraId="5BD90613" w14:textId="48EDFDA4" w:rsidR="00FD40B0" w:rsidRPr="005A48EE" w:rsidRDefault="00FD40B0" w:rsidP="000964FB">
      <w:pPr>
        <w:pStyle w:val="Title2-Country"/>
        <w:keepNext w:val="0"/>
        <w:widowControl w:val="0"/>
        <w:spacing w:before="120" w:line="276" w:lineRule="auto"/>
        <w:rPr>
          <w:noProof w:val="0"/>
          <w:color w:val="auto"/>
        </w:rPr>
      </w:pPr>
      <w:r>
        <w:rPr>
          <w:noProof w:val="0"/>
          <w:color w:val="auto"/>
        </w:rPr>
        <w:t>Japan</w:t>
      </w:r>
    </w:p>
    <w:p w14:paraId="2FCAF32D" w14:textId="053AA0BF" w:rsidR="00FD40B0" w:rsidRPr="000E0EC6" w:rsidRDefault="00FD40B0" w:rsidP="000964FB">
      <w:pPr>
        <w:pStyle w:val="Title2-Country"/>
        <w:keepNext w:val="0"/>
        <w:widowControl w:val="0"/>
        <w:spacing w:after="280" w:line="276" w:lineRule="auto"/>
        <w:rPr>
          <w:b w:val="0"/>
          <w:bCs w:val="0"/>
          <w:noProof w:val="0"/>
        </w:rPr>
      </w:pPr>
      <w:r w:rsidRPr="008B0966">
        <w:rPr>
          <w:noProof w:val="0"/>
        </w:rPr>
        <w:t xml:space="preserve">The G7 group </w:t>
      </w:r>
      <w:proofErr w:type="gramStart"/>
      <w:r w:rsidR="00401AD3">
        <w:rPr>
          <w:noProof w:val="0"/>
        </w:rPr>
        <w:t xml:space="preserve">reportedly </w:t>
      </w:r>
      <w:r w:rsidRPr="008B0966">
        <w:rPr>
          <w:noProof w:val="0"/>
        </w:rPr>
        <w:t>reaffirmed</w:t>
      </w:r>
      <w:proofErr w:type="gramEnd"/>
      <w:r w:rsidRPr="008B0966">
        <w:rPr>
          <w:noProof w:val="0"/>
        </w:rPr>
        <w:t xml:space="preserve"> </w:t>
      </w:r>
      <w:r w:rsidR="0038189E">
        <w:rPr>
          <w:noProof w:val="0"/>
        </w:rPr>
        <w:t>its</w:t>
      </w:r>
      <w:r w:rsidRPr="008B0966">
        <w:rPr>
          <w:noProof w:val="0"/>
        </w:rPr>
        <w:t xml:space="preserve"> view that disorderly FX moves can have adverse implications for macro-financial stability.</w:t>
      </w:r>
      <w:r>
        <w:rPr>
          <w:b w:val="0"/>
          <w:bCs w:val="0"/>
          <w:noProof w:val="0"/>
        </w:rPr>
        <w:t xml:space="preserve"> Analysts </w:t>
      </w:r>
      <w:r w:rsidR="00BB3ED2">
        <w:rPr>
          <w:b w:val="0"/>
          <w:bCs w:val="0"/>
          <w:noProof w:val="0"/>
        </w:rPr>
        <w:t>suggested</w:t>
      </w:r>
      <w:r>
        <w:rPr>
          <w:b w:val="0"/>
          <w:bCs w:val="0"/>
          <w:noProof w:val="0"/>
        </w:rPr>
        <w:t xml:space="preserve"> that such an acknowledgement gives a tacit permission for Japan to intervene to reduce currency volatility. Separately, US Treasury Secretary Yellen </w:t>
      </w:r>
      <w:proofErr w:type="gramStart"/>
      <w:r w:rsidR="0038189E">
        <w:rPr>
          <w:b w:val="0"/>
          <w:bCs w:val="0"/>
          <w:noProof w:val="0"/>
        </w:rPr>
        <w:t>reportedly</w:t>
      </w:r>
      <w:r>
        <w:rPr>
          <w:b w:val="0"/>
          <w:bCs w:val="0"/>
          <w:noProof w:val="0"/>
        </w:rPr>
        <w:t xml:space="preserve"> acknowledged</w:t>
      </w:r>
      <w:proofErr w:type="gramEnd"/>
      <w:r>
        <w:rPr>
          <w:b w:val="0"/>
          <w:bCs w:val="0"/>
          <w:noProof w:val="0"/>
        </w:rPr>
        <w:t xml:space="preserve"> concerns of Japan and Korea over </w:t>
      </w:r>
      <w:r w:rsidR="0038189E">
        <w:rPr>
          <w:b w:val="0"/>
          <w:bCs w:val="0"/>
          <w:noProof w:val="0"/>
        </w:rPr>
        <w:t xml:space="preserve">their </w:t>
      </w:r>
      <w:r>
        <w:rPr>
          <w:b w:val="0"/>
          <w:bCs w:val="0"/>
          <w:noProof w:val="0"/>
        </w:rPr>
        <w:t xml:space="preserve">sharp exchange rate depreciation. Today, Japanese yen </w:t>
      </w:r>
      <w:proofErr w:type="gramStart"/>
      <w:r>
        <w:rPr>
          <w:b w:val="0"/>
          <w:bCs w:val="0"/>
          <w:noProof w:val="0"/>
        </w:rPr>
        <w:t>was little changed</w:t>
      </w:r>
      <w:proofErr w:type="gramEnd"/>
      <w:r>
        <w:rPr>
          <w:b w:val="0"/>
          <w:bCs w:val="0"/>
          <w:noProof w:val="0"/>
        </w:rPr>
        <w:t xml:space="preserve"> at around 154.4 yen per dollar. Japanese equities gained (NIKKEI: +0.3%), </w:t>
      </w:r>
      <w:proofErr w:type="gramStart"/>
      <w:r>
        <w:rPr>
          <w:b w:val="0"/>
          <w:bCs w:val="0"/>
          <w:noProof w:val="0"/>
        </w:rPr>
        <w:t>similar to</w:t>
      </w:r>
      <w:proofErr w:type="gramEnd"/>
      <w:r>
        <w:rPr>
          <w:b w:val="0"/>
          <w:bCs w:val="0"/>
          <w:noProof w:val="0"/>
        </w:rPr>
        <w:t xml:space="preserve"> regional trends. Long-end </w:t>
      </w:r>
      <w:r w:rsidR="00401AD3">
        <w:rPr>
          <w:b w:val="0"/>
          <w:bCs w:val="0"/>
          <w:noProof w:val="0"/>
        </w:rPr>
        <w:t>Japanese government bond</w:t>
      </w:r>
      <w:r>
        <w:rPr>
          <w:b w:val="0"/>
          <w:bCs w:val="0"/>
          <w:noProof w:val="0"/>
        </w:rPr>
        <w:t xml:space="preserve"> yields dropped (10-year: -1.4 bps; 30-year -2.1 bps), following </w:t>
      </w:r>
      <w:r w:rsidR="0038189E">
        <w:rPr>
          <w:b w:val="0"/>
          <w:bCs w:val="0"/>
          <w:noProof w:val="0"/>
        </w:rPr>
        <w:t>Wednesday’s</w:t>
      </w:r>
      <w:r>
        <w:rPr>
          <w:b w:val="0"/>
          <w:bCs w:val="0"/>
          <w:noProof w:val="0"/>
        </w:rPr>
        <w:t xml:space="preserve"> decline in US treasury yields.</w:t>
      </w:r>
    </w:p>
    <w:p w14:paraId="33E1503E" w14:textId="2821F805" w:rsidR="00733DD2" w:rsidRPr="000F23B1" w:rsidRDefault="00733DD2" w:rsidP="000964FB">
      <w:pPr>
        <w:pStyle w:val="Title1-Section"/>
        <w:keepNext w:val="0"/>
        <w:keepLines w:val="0"/>
      </w:pPr>
      <w:r>
        <w:t>Emerging</w:t>
      </w:r>
      <w:r w:rsidRPr="000F23B1">
        <w:t xml:space="preserve"> </w:t>
      </w:r>
      <w:r w:rsidRPr="00C86BC4">
        <w:t>Markets</w:t>
      </w:r>
      <w:r w:rsidR="0038695A">
        <w:t xml:space="preserve">          </w:t>
      </w:r>
      <w:hyperlink w:anchor="Top" w:history="1">
        <w:r w:rsidRPr="0062358B">
          <w:rPr>
            <w:rStyle w:val="Back-to-Top"/>
          </w:rPr>
          <w:t>back to top</w:t>
        </w:r>
      </w:hyperlink>
    </w:p>
    <w:p w14:paraId="0A5E9DB6" w14:textId="7806402D" w:rsidR="007F44C6" w:rsidRPr="001E24E3" w:rsidRDefault="00444935" w:rsidP="000964FB">
      <w:pPr>
        <w:pStyle w:val="Normal-KeepTogether"/>
        <w:keepLines w:val="0"/>
        <w:widowControl w:val="0"/>
        <w:rPr>
          <w:rStyle w:val="Strong"/>
          <w:b w:val="0"/>
          <w:bCs w:val="0"/>
        </w:rPr>
      </w:pPr>
      <w:r w:rsidRPr="00444935">
        <w:rPr>
          <w:rFonts w:ascii="Arial" w:eastAsia="Arial" w:hAnsi="Arial" w:cs="Times New Roman"/>
          <w:b/>
          <w:bCs/>
          <w:kern w:val="2"/>
          <w:szCs w:val="24"/>
          <w:lang w:val="en"/>
          <w14:ligatures w14:val="standardContextual"/>
        </w:rPr>
        <w:t>EMEA equities were mostly weaker today, as well as currencies.</w:t>
      </w:r>
      <w:r w:rsidRPr="00444935">
        <w:rPr>
          <w:rFonts w:ascii="Arial" w:eastAsia="Arial" w:hAnsi="Arial" w:cs="Times New Roman"/>
          <w:kern w:val="2"/>
          <w:szCs w:val="24"/>
          <w:lang w:val="en"/>
          <w14:ligatures w14:val="standardContextual"/>
        </w:rPr>
        <w:t xml:space="preserve"> </w:t>
      </w:r>
      <w:r w:rsidR="00012E1A">
        <w:rPr>
          <w:rFonts w:ascii="Arial" w:eastAsia="Arial" w:hAnsi="Arial" w:cs="Times New Roman"/>
          <w:kern w:val="2"/>
          <w:szCs w:val="24"/>
          <w:lang w:val="en"/>
          <w14:ligatures w14:val="standardContextual"/>
        </w:rPr>
        <w:t>S</w:t>
      </w:r>
      <w:r w:rsidRPr="00444935">
        <w:rPr>
          <w:rFonts w:ascii="Arial" w:eastAsia="Arial" w:hAnsi="Arial" w:cs="Times New Roman"/>
          <w:kern w:val="2"/>
          <w:szCs w:val="24"/>
          <w:lang w:val="en"/>
          <w14:ligatures w14:val="standardContextual"/>
        </w:rPr>
        <w:t>tock market</w:t>
      </w:r>
      <w:r w:rsidR="00012E1A">
        <w:rPr>
          <w:rFonts w:ascii="Arial" w:eastAsia="Arial" w:hAnsi="Arial" w:cs="Times New Roman"/>
          <w:kern w:val="2"/>
          <w:szCs w:val="24"/>
          <w:lang w:val="en"/>
          <w14:ligatures w14:val="standardContextual"/>
        </w:rPr>
        <w:t>s saw</w:t>
      </w:r>
      <w:r w:rsidRPr="00444935">
        <w:rPr>
          <w:rFonts w:ascii="Arial" w:eastAsia="Arial" w:hAnsi="Arial" w:cs="Times New Roman"/>
          <w:kern w:val="2"/>
          <w:szCs w:val="24"/>
          <w:lang w:val="en"/>
          <w14:ligatures w14:val="standardContextual"/>
        </w:rPr>
        <w:t xml:space="preserve"> los</w:t>
      </w:r>
      <w:r w:rsidR="00012E1A">
        <w:rPr>
          <w:rFonts w:ascii="Arial" w:eastAsia="Arial" w:hAnsi="Arial" w:cs="Times New Roman"/>
          <w:kern w:val="2"/>
          <w:szCs w:val="24"/>
          <w:lang w:val="en"/>
          <w14:ligatures w14:val="standardContextual"/>
        </w:rPr>
        <w:t>ses</w:t>
      </w:r>
      <w:r w:rsidRPr="00444935">
        <w:rPr>
          <w:rFonts w:ascii="Arial" w:eastAsia="Arial" w:hAnsi="Arial" w:cs="Times New Roman"/>
          <w:kern w:val="2"/>
          <w:szCs w:val="24"/>
          <w:lang w:val="en"/>
          <w14:ligatures w14:val="standardContextual"/>
        </w:rPr>
        <w:t xml:space="preserve"> in CEE, </w:t>
      </w:r>
      <w:proofErr w:type="gramStart"/>
      <w:r w:rsidRPr="00444935">
        <w:rPr>
          <w:rFonts w:ascii="Arial" w:eastAsia="Arial" w:hAnsi="Arial" w:cs="Times New Roman"/>
          <w:kern w:val="2"/>
          <w:szCs w:val="24"/>
          <w:lang w:val="en"/>
          <w14:ligatures w14:val="standardContextual"/>
        </w:rPr>
        <w:t>in particular in</w:t>
      </w:r>
      <w:proofErr w:type="gramEnd"/>
      <w:r w:rsidRPr="00444935">
        <w:rPr>
          <w:rFonts w:ascii="Arial" w:eastAsia="Arial" w:hAnsi="Arial" w:cs="Times New Roman"/>
          <w:kern w:val="2"/>
          <w:szCs w:val="24"/>
          <w:lang w:val="en"/>
          <w14:ligatures w14:val="standardContextual"/>
        </w:rPr>
        <w:t xml:space="preserve"> Hungary (-0.5%), and traded laterally in South Africa, gaining however (+0</w:t>
      </w:r>
      <w:r w:rsidR="00012E1A">
        <w:rPr>
          <w:rFonts w:ascii="Arial" w:eastAsia="Arial" w:hAnsi="Arial" w:cs="Times New Roman"/>
          <w:kern w:val="2"/>
          <w:szCs w:val="24"/>
          <w:lang w:val="en"/>
          <w14:ligatures w14:val="standardContextual"/>
        </w:rPr>
        <w:t>.</w:t>
      </w:r>
      <w:r w:rsidRPr="00444935">
        <w:rPr>
          <w:rFonts w:ascii="Arial" w:eastAsia="Arial" w:hAnsi="Arial" w:cs="Times New Roman"/>
          <w:kern w:val="2"/>
          <w:szCs w:val="24"/>
          <w:lang w:val="en"/>
          <w14:ligatures w14:val="standardContextual"/>
        </w:rPr>
        <w:t xml:space="preserve">2%) in Türkiye. CEE </w:t>
      </w:r>
      <w:r w:rsidRPr="00444935">
        <w:rPr>
          <w:rFonts w:ascii="Arial" w:eastAsia="Arial" w:hAnsi="Arial" w:cs="Times New Roman"/>
          <w:kern w:val="2"/>
          <w:szCs w:val="24"/>
          <w:lang w:val="en"/>
          <w14:ligatures w14:val="standardContextual"/>
        </w:rPr>
        <w:lastRenderedPageBreak/>
        <w:t xml:space="preserve">currencies were weaker against the euro, save for the Polish zloty, which marginally appreciated (+0.1%), trading at 4.33/€ and where the 10y government bond yield spread against the Bund fell by 6bps to 326.7bps from 332.5bps yesterday. </w:t>
      </w:r>
      <w:r w:rsidRPr="00444935">
        <w:rPr>
          <w:rFonts w:ascii="Arial" w:eastAsia="Arial" w:hAnsi="Arial" w:cs="Times New Roman"/>
          <w:kern w:val="2"/>
          <w:szCs w:val="24"/>
          <w14:ligatures w14:val="standardContextual"/>
        </w:rPr>
        <w:t xml:space="preserve">In </w:t>
      </w:r>
      <w:proofErr w:type="gramStart"/>
      <w:r w:rsidRPr="00444935">
        <w:rPr>
          <w:rFonts w:ascii="Arial" w:eastAsia="Arial" w:hAnsi="Arial" w:cs="Times New Roman"/>
          <w:kern w:val="2"/>
          <w:szCs w:val="24"/>
          <w:lang w:val="en"/>
          <w14:ligatures w14:val="standardContextual"/>
        </w:rPr>
        <w:t>Türkiye</w:t>
      </w:r>
      <w:proofErr w:type="gramEnd"/>
      <w:r w:rsidRPr="00444935">
        <w:rPr>
          <w:rFonts w:ascii="Arial" w:eastAsia="Arial" w:hAnsi="Arial" w:cs="Times New Roman"/>
          <w:kern w:val="2"/>
          <w:szCs w:val="24"/>
          <w:lang w:val="en"/>
          <w14:ligatures w14:val="standardContextual"/>
        </w:rPr>
        <w:t xml:space="preserve"> the lira kept being weak (-0.1%) against the dollar, trading at 32</w:t>
      </w:r>
      <w:r w:rsidRPr="00444935">
        <w:rPr>
          <w:rFonts w:ascii="Arial" w:eastAsia="Arial" w:hAnsi="Arial" w:cs="Times New Roman"/>
          <w:kern w:val="2"/>
          <w:szCs w:val="24"/>
          <w14:ligatures w14:val="standardContextual"/>
        </w:rPr>
        <w:t>.51/$. In South African the rand was stable against the dollar, trading at 19.03/$. Elsewhere, the Central Bank of Nigeria reduced banks’ loan-to-deposit ratio to 50%, from 65%, to curb liquidity and tame inflationary pressures.</w:t>
      </w:r>
    </w:p>
    <w:p w14:paraId="1BE75645" w14:textId="77777777" w:rsidR="000807BC" w:rsidRPr="000807BC" w:rsidRDefault="000807BC" w:rsidP="000964FB">
      <w:pPr>
        <w:widowControl w:val="0"/>
        <w:rPr>
          <w:rFonts w:ascii="Arial" w:eastAsia="Arial" w:hAnsi="Arial" w:cs="Arial"/>
        </w:rPr>
      </w:pPr>
      <w:r w:rsidRPr="000807BC">
        <w:rPr>
          <w:rFonts w:ascii="Arial" w:eastAsia="Arial" w:hAnsi="Arial" w:cs="Arial"/>
          <w:b/>
          <w:bCs/>
        </w:rPr>
        <w:t xml:space="preserve">Asian markets advanced today on improving global risk sentiment. </w:t>
      </w:r>
      <w:r w:rsidRPr="000807BC">
        <w:rPr>
          <w:rFonts w:ascii="Arial" w:eastAsia="Arial" w:hAnsi="Arial" w:cs="Arial"/>
        </w:rPr>
        <w:t xml:space="preserve">Asian equities gained, up 1.2% on net, led by Koran (+2.0%), Singaporean (+1.0%) and Hong Kong (+0.8%) stocks. Asian currencies also appreciated, led by Korean won (+1.0%), Taiwan dollar (+0.3%) and Indonesian rupiah (+0.3%) amid a broad-based weakening of USD. Long-end government bond yields declined, with 10-year yields falling in Korea (-6.0 bps), Thailand (-5.2 bps) and Taiwan Province of China (-4.5 bps). </w:t>
      </w:r>
      <w:r w:rsidRPr="000807BC">
        <w:rPr>
          <w:rFonts w:ascii="Arial" w:eastAsia="Arial" w:hAnsi="Arial" w:cs="Arial"/>
          <w:b/>
          <w:bCs/>
        </w:rPr>
        <w:t>In Hong Kong SAR,</w:t>
      </w:r>
      <w:r w:rsidRPr="000807BC">
        <w:rPr>
          <w:rFonts w:ascii="Arial" w:eastAsia="Arial" w:hAnsi="Arial" w:cs="Arial"/>
        </w:rPr>
        <w:t xml:space="preserve"> the unemployment rate edged up to 3.0% in March.</w:t>
      </w:r>
    </w:p>
    <w:p w14:paraId="22807F6D" w14:textId="40654279" w:rsidR="002E555C" w:rsidRPr="000964FB" w:rsidRDefault="002E555C" w:rsidP="000964FB">
      <w:r w:rsidRPr="0018091B">
        <w:rPr>
          <w:b/>
          <w:bCs/>
        </w:rPr>
        <w:t xml:space="preserve">Latin American assets </w:t>
      </w:r>
      <w:r>
        <w:rPr>
          <w:b/>
          <w:bCs/>
        </w:rPr>
        <w:t>performed mixed</w:t>
      </w:r>
      <w:r w:rsidRPr="0018091B">
        <w:rPr>
          <w:b/>
          <w:bCs/>
        </w:rPr>
        <w:t>.</w:t>
      </w:r>
      <w:r w:rsidRPr="00903AA3">
        <w:t xml:space="preserve"> </w:t>
      </w:r>
      <w:r>
        <w:t>Stocks declined in Mexico (-0.7%) and Colombia (-1.3%) while Chile’s equity market rose by 0.4%. Currencies appreciated in Brazil (0.8%), Mexico (0.6%), Colombia (0.4%) and Chile (0.4%) against the US dollar. Brazil’s economic activity index rose 0.4% in February.</w:t>
      </w:r>
    </w:p>
    <w:p w14:paraId="686ED6FB" w14:textId="77777777" w:rsidR="000807BC" w:rsidRPr="000807BC" w:rsidRDefault="000807BC" w:rsidP="000807BC">
      <w:pPr>
        <w:widowControl w:val="0"/>
        <w:spacing w:after="40"/>
        <w:rPr>
          <w:rFonts w:ascii="Arial" w:eastAsia="SimSun" w:hAnsi="Arial" w:cs="Arial"/>
          <w:b/>
          <w:bCs/>
          <w:lang w:eastAsia="zh-CN"/>
        </w:rPr>
      </w:pPr>
      <w:r w:rsidRPr="000807BC">
        <w:rPr>
          <w:rFonts w:ascii="Arial" w:eastAsia="SimSun" w:hAnsi="Arial" w:cs="Arial"/>
          <w:b/>
          <w:bCs/>
          <w:lang w:eastAsia="zh-CN"/>
        </w:rPr>
        <w:t>China</w:t>
      </w:r>
    </w:p>
    <w:p w14:paraId="7F3A4CB2" w14:textId="42B1F849" w:rsidR="000807BC" w:rsidRPr="000807BC" w:rsidRDefault="000807BC" w:rsidP="000807BC">
      <w:pPr>
        <w:widowControl w:val="0"/>
        <w:rPr>
          <w:rFonts w:ascii="Arial" w:eastAsia="Arial" w:hAnsi="Arial" w:cs="Arial"/>
        </w:rPr>
      </w:pPr>
      <w:r w:rsidRPr="000807BC">
        <w:rPr>
          <w:rFonts w:ascii="Arial" w:eastAsia="Arial" w:hAnsi="Arial" w:cs="Arial"/>
          <w:b/>
          <w:bCs/>
        </w:rPr>
        <w:t>The People’s Bank of China (PB</w:t>
      </w:r>
      <w:r w:rsidR="00012E1A">
        <w:rPr>
          <w:rFonts w:ascii="Arial" w:eastAsia="Arial" w:hAnsi="Arial" w:cs="Arial"/>
          <w:b/>
          <w:bCs/>
        </w:rPr>
        <w:t>o</w:t>
      </w:r>
      <w:r w:rsidRPr="000807BC">
        <w:rPr>
          <w:rFonts w:ascii="Arial" w:eastAsia="Arial" w:hAnsi="Arial" w:cs="Arial"/>
          <w:b/>
          <w:bCs/>
        </w:rPr>
        <w:t xml:space="preserve">C) reiterated the need to prevent one-sided moves in </w:t>
      </w:r>
      <w:r w:rsidR="00012E1A">
        <w:rPr>
          <w:rFonts w:ascii="Arial" w:eastAsia="Arial" w:hAnsi="Arial" w:cs="Arial"/>
          <w:b/>
          <w:bCs/>
        </w:rPr>
        <w:t>the renminbi</w:t>
      </w:r>
      <w:r w:rsidRPr="000807BC">
        <w:rPr>
          <w:rFonts w:ascii="Arial" w:eastAsia="Arial" w:hAnsi="Arial" w:cs="Arial"/>
          <w:b/>
          <w:bCs/>
        </w:rPr>
        <w:t xml:space="preserve">. </w:t>
      </w:r>
      <w:r w:rsidRPr="000807BC">
        <w:rPr>
          <w:rFonts w:ascii="Arial" w:eastAsia="Arial" w:hAnsi="Arial" w:cs="Arial"/>
        </w:rPr>
        <w:t>On its social media account, the PB</w:t>
      </w:r>
      <w:r w:rsidR="00012E1A">
        <w:rPr>
          <w:rFonts w:ascii="Arial" w:eastAsia="Arial" w:hAnsi="Arial" w:cs="Arial"/>
        </w:rPr>
        <w:t>o</w:t>
      </w:r>
      <w:r w:rsidRPr="000807BC">
        <w:rPr>
          <w:rFonts w:ascii="Arial" w:eastAsia="Arial" w:hAnsi="Arial" w:cs="Arial"/>
        </w:rPr>
        <w:t xml:space="preserve">C </w:t>
      </w:r>
      <w:proofErr w:type="gramStart"/>
      <w:r w:rsidR="00012E1A">
        <w:rPr>
          <w:rFonts w:ascii="Arial" w:eastAsia="Arial" w:hAnsi="Arial" w:cs="Arial"/>
        </w:rPr>
        <w:t xml:space="preserve">reportedly </w:t>
      </w:r>
      <w:r w:rsidRPr="000807BC">
        <w:rPr>
          <w:rFonts w:ascii="Arial" w:eastAsia="Arial" w:hAnsi="Arial" w:cs="Arial"/>
        </w:rPr>
        <w:t>said</w:t>
      </w:r>
      <w:proofErr w:type="gramEnd"/>
      <w:r w:rsidRPr="000807BC">
        <w:rPr>
          <w:rFonts w:ascii="Arial" w:eastAsia="Arial" w:hAnsi="Arial" w:cs="Arial"/>
        </w:rPr>
        <w:t xml:space="preserve"> that China will resolutely put </w:t>
      </w:r>
      <w:r w:rsidR="00012E1A">
        <w:rPr>
          <w:rFonts w:ascii="Arial" w:eastAsia="Arial" w:hAnsi="Arial" w:cs="Arial"/>
        </w:rPr>
        <w:t>the renminbi</w:t>
      </w:r>
      <w:r w:rsidRPr="000807BC">
        <w:rPr>
          <w:rFonts w:ascii="Arial" w:eastAsia="Arial" w:hAnsi="Arial" w:cs="Arial"/>
        </w:rPr>
        <w:t xml:space="preserve"> back on track when traders place lopsided bets and will avoid excessive currency volatility. Separately, Zhu Hexin, the head of the State Administration of Foreign Exchange and PBC deputy governor, said that China </w:t>
      </w:r>
      <w:proofErr w:type="gramStart"/>
      <w:r w:rsidRPr="000807BC">
        <w:rPr>
          <w:rFonts w:ascii="Arial" w:eastAsia="Arial" w:hAnsi="Arial" w:cs="Arial"/>
        </w:rPr>
        <w:t>is capable of maintaining</w:t>
      </w:r>
      <w:proofErr w:type="gramEnd"/>
      <w:r w:rsidRPr="000807BC">
        <w:rPr>
          <w:rFonts w:ascii="Arial" w:eastAsia="Arial" w:hAnsi="Arial" w:cs="Arial"/>
        </w:rPr>
        <w:t xml:space="preserve"> a stable FX market and that improving economic conditions will support RMB. The PB</w:t>
      </w:r>
      <w:r w:rsidR="00012E1A" w:rsidRPr="00012E1A">
        <w:rPr>
          <w:rFonts w:ascii="Arial" w:eastAsia="Arial" w:hAnsi="Arial" w:cs="Arial"/>
        </w:rPr>
        <w:t>o</w:t>
      </w:r>
      <w:r w:rsidRPr="000807BC">
        <w:rPr>
          <w:rFonts w:ascii="Arial" w:eastAsia="Arial" w:hAnsi="Arial" w:cs="Arial"/>
        </w:rPr>
        <w:t xml:space="preserve">C set the daily RMB fixing slightly stronger today than yesterday, while the deviation from market consensus remained wide at 1,279 pips. RMB </w:t>
      </w:r>
      <w:proofErr w:type="gramStart"/>
      <w:r w:rsidRPr="000807BC">
        <w:rPr>
          <w:rFonts w:ascii="Arial" w:eastAsia="Arial" w:hAnsi="Arial" w:cs="Arial"/>
        </w:rPr>
        <w:t>was little changed</w:t>
      </w:r>
      <w:proofErr w:type="gramEnd"/>
      <w:r w:rsidRPr="000807BC">
        <w:rPr>
          <w:rFonts w:ascii="Arial" w:eastAsia="Arial" w:hAnsi="Arial" w:cs="Arial"/>
        </w:rPr>
        <w:t xml:space="preserve"> at 7.24 yuan per dollar. CGB yields declined (1-year: -0.9 bp; 10-year: -0.8 bp). Chinese equities gained (CSI 300: +0.1%; Hong Kong SAR-listed: +0.9%), </w:t>
      </w:r>
      <w:proofErr w:type="gramStart"/>
      <w:r w:rsidRPr="000807BC">
        <w:rPr>
          <w:rFonts w:ascii="Arial" w:eastAsia="Arial" w:hAnsi="Arial" w:cs="Arial"/>
        </w:rPr>
        <w:t>similar to</w:t>
      </w:r>
      <w:proofErr w:type="gramEnd"/>
      <w:r w:rsidRPr="000807BC">
        <w:rPr>
          <w:rFonts w:ascii="Arial" w:eastAsia="Arial" w:hAnsi="Arial" w:cs="Arial"/>
        </w:rPr>
        <w:t xml:space="preserve"> regional trends. While overall market sentiment remained weak, dividend stocks have surged notably this year. </w:t>
      </w:r>
      <w:proofErr w:type="gramStart"/>
      <w:r w:rsidRPr="000807BC">
        <w:rPr>
          <w:rFonts w:ascii="Arial" w:eastAsia="Arial" w:hAnsi="Arial" w:cs="Arial"/>
        </w:rPr>
        <w:t>In particular, Shanghai</w:t>
      </w:r>
      <w:proofErr w:type="gramEnd"/>
      <w:r w:rsidRPr="000807BC">
        <w:rPr>
          <w:rFonts w:ascii="Arial" w:eastAsia="Arial" w:hAnsi="Arial" w:cs="Arial"/>
        </w:rPr>
        <w:t xml:space="preserve"> Stock Exchange Dividend Index, which largely capture energy firms and banks, has increased by 20% </w:t>
      </w:r>
      <w:r w:rsidR="00012E1A">
        <w:rPr>
          <w:rFonts w:ascii="Arial" w:eastAsia="Arial" w:hAnsi="Arial" w:cs="Arial"/>
        </w:rPr>
        <w:t>YTD</w:t>
      </w:r>
      <w:r w:rsidRPr="000807BC">
        <w:rPr>
          <w:rFonts w:ascii="Arial" w:eastAsia="Arial" w:hAnsi="Arial" w:cs="Arial"/>
        </w:rPr>
        <w:t>, hitting the highest level since mid-2015. Analysts warned that this hottest trade is reaching a bubble level. Investors started chasing dividend plays amid a low interest rate environment and a stock market rout in early 2024. Recent policy guideline to boost dividend payment further fueled the rally.</w:t>
      </w:r>
    </w:p>
    <w:p w14:paraId="7A9D4FFB" w14:textId="77777777" w:rsidR="000807BC" w:rsidRPr="000807BC" w:rsidRDefault="000807BC" w:rsidP="000964FB">
      <w:pPr>
        <w:widowControl w:val="0"/>
        <w:jc w:val="center"/>
        <w:rPr>
          <w:rFonts w:ascii="Arial" w:eastAsia="Arial" w:hAnsi="Arial" w:cs="Arial"/>
        </w:rPr>
      </w:pPr>
      <w:r w:rsidRPr="000807BC">
        <w:rPr>
          <w:rFonts w:ascii="Arial" w:eastAsia="Arial" w:hAnsi="Arial" w:cs="Arial"/>
          <w:noProof/>
        </w:rPr>
        <w:drawing>
          <wp:inline distT="0" distB="0" distL="0" distR="0" wp14:anchorId="00125230" wp14:editId="550006EF">
            <wp:extent cx="3267075" cy="18710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0683" cy="1878860"/>
                    </a:xfrm>
                    <a:prstGeom prst="rect">
                      <a:avLst/>
                    </a:prstGeom>
                    <a:noFill/>
                    <a:ln>
                      <a:noFill/>
                    </a:ln>
                  </pic:spPr>
                </pic:pic>
              </a:graphicData>
            </a:graphic>
          </wp:inline>
        </w:drawing>
      </w:r>
    </w:p>
    <w:p w14:paraId="04A1AC50" w14:textId="4C0BBE08" w:rsidR="002E555C" w:rsidRPr="00B4749A" w:rsidRDefault="002E555C" w:rsidP="002E555C">
      <w:pPr>
        <w:spacing w:before="0" w:after="0"/>
        <w:rPr>
          <w:b/>
          <w:bCs/>
        </w:rPr>
      </w:pPr>
      <w:r>
        <w:rPr>
          <w:b/>
          <w:bCs/>
        </w:rPr>
        <w:t>Colombia</w:t>
      </w:r>
    </w:p>
    <w:p w14:paraId="495C329C" w14:textId="42F6C385" w:rsidR="002E555C" w:rsidRDefault="002E555C" w:rsidP="000964FB">
      <w:r w:rsidRPr="007450F5">
        <w:rPr>
          <w:b/>
          <w:bCs/>
        </w:rPr>
        <w:t>Colombia's local currency bond</w:t>
      </w:r>
      <w:r>
        <w:rPr>
          <w:b/>
          <w:bCs/>
        </w:rPr>
        <w:t xml:space="preserve"> prices</w:t>
      </w:r>
      <w:r w:rsidRPr="007450F5">
        <w:rPr>
          <w:b/>
          <w:bCs/>
        </w:rPr>
        <w:t xml:space="preserve"> sank to their lowest level in five months</w:t>
      </w:r>
      <w:r>
        <w:t xml:space="preserve">, as </w:t>
      </w:r>
      <w:r w:rsidRPr="007450F5">
        <w:t>investor</w:t>
      </w:r>
      <w:r>
        <w:t>s</w:t>
      </w:r>
      <w:r w:rsidRPr="007450F5">
        <w:t xml:space="preserve"> </w:t>
      </w:r>
      <w:r>
        <w:t>fear that the</w:t>
      </w:r>
      <w:r w:rsidRPr="007450F5">
        <w:t xml:space="preserve"> pension system</w:t>
      </w:r>
      <w:r>
        <w:t xml:space="preserve"> reform </w:t>
      </w:r>
      <w:r w:rsidRPr="007450F5">
        <w:t>could reduce demand for local debt.</w:t>
      </w:r>
      <w:r>
        <w:t xml:space="preserve"> </w:t>
      </w:r>
      <w:r w:rsidRPr="007450F5">
        <w:t xml:space="preserve">The peso-denominated </w:t>
      </w:r>
      <w:r>
        <w:t>10-year bond yield</w:t>
      </w:r>
      <w:r w:rsidRPr="007450F5">
        <w:t xml:space="preserve"> surged by </w:t>
      </w:r>
      <w:proofErr w:type="gramStart"/>
      <w:r w:rsidRPr="007450F5">
        <w:t>23</w:t>
      </w:r>
      <w:proofErr w:type="gramEnd"/>
      <w:r w:rsidRPr="007450F5">
        <w:t xml:space="preserve"> basis points to 11.3%, </w:t>
      </w:r>
      <w:r>
        <w:t xml:space="preserve">the </w:t>
      </w:r>
      <w:r w:rsidRPr="007450F5">
        <w:t>highest level since November</w:t>
      </w:r>
      <w:r>
        <w:t xml:space="preserve">. </w:t>
      </w:r>
      <w:r w:rsidRPr="006B778A">
        <w:t xml:space="preserve">The Finance Ministry projects that </w:t>
      </w:r>
      <w:r w:rsidRPr="006B778A">
        <w:lastRenderedPageBreak/>
        <w:t>this reform could empower the government to manage approximately 70% of total worker</w:t>
      </w:r>
      <w:r>
        <w:t xml:space="preserve"> pension</w:t>
      </w:r>
      <w:r w:rsidRPr="006B778A">
        <w:t xml:space="preserve"> contribution</w:t>
      </w:r>
      <w:r>
        <w:t>s</w:t>
      </w:r>
      <w:r w:rsidRPr="006B778A">
        <w:t>.</w:t>
      </w:r>
      <w:r>
        <w:t xml:space="preserve"> E</w:t>
      </w:r>
      <w:r w:rsidRPr="006B778A">
        <w:t>conomist</w:t>
      </w:r>
      <w:r>
        <w:t>s</w:t>
      </w:r>
      <w:r w:rsidRPr="006B778A">
        <w:t xml:space="preserve"> suggested that pension funds might refrain from participating in local bond auctions until they gain</w:t>
      </w:r>
      <w:r>
        <w:t xml:space="preserve"> more</w:t>
      </w:r>
      <w:r w:rsidRPr="006B778A">
        <w:t xml:space="preserve"> clarity</w:t>
      </w:r>
      <w:r>
        <w:t xml:space="preserve"> on </w:t>
      </w:r>
      <w:r w:rsidRPr="00D217C2">
        <w:t>the money they manage.</w:t>
      </w:r>
      <w:r>
        <w:t xml:space="preserve"> </w:t>
      </w:r>
      <w:r w:rsidRPr="009A1D50">
        <w:t>Colombia’s pension funds currently hold 30% of Colombia's 516 trillion peso ($132 billion</w:t>
      </w:r>
      <w:r>
        <w:t xml:space="preserve"> USD</w:t>
      </w:r>
      <w:r w:rsidRPr="009A1D50">
        <w:t xml:space="preserve">) local </w:t>
      </w:r>
      <w:r>
        <w:t>currency debt</w:t>
      </w:r>
      <w:r w:rsidRPr="009A1D50">
        <w:t>.</w:t>
      </w:r>
    </w:p>
    <w:p w14:paraId="24BD6774" w14:textId="4E67403E" w:rsidR="000964FB" w:rsidRDefault="000964FB" w:rsidP="000964FB">
      <w:pPr>
        <w:jc w:val="center"/>
      </w:pPr>
      <w:r>
        <w:rPr>
          <w:noProof/>
        </w:rPr>
        <w:drawing>
          <wp:inline distT="0" distB="0" distL="0" distR="0" wp14:anchorId="6D9B7162" wp14:editId="364BE183">
            <wp:extent cx="2657475" cy="18743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662694" cy="1878076"/>
                    </a:xfrm>
                    <a:prstGeom prst="rect">
                      <a:avLst/>
                    </a:prstGeom>
                  </pic:spPr>
                </pic:pic>
              </a:graphicData>
            </a:graphic>
          </wp:inline>
        </w:drawing>
      </w:r>
    </w:p>
    <w:p w14:paraId="29F8289C" w14:textId="77777777" w:rsidR="00114701" w:rsidRDefault="00114701" w:rsidP="000964FB">
      <w:pPr>
        <w:pStyle w:val="Title2-Country"/>
        <w:keepNext w:val="0"/>
        <w:spacing w:line="276" w:lineRule="auto"/>
        <w:rPr>
          <w:lang w:val="en"/>
        </w:rPr>
      </w:pPr>
      <w:r>
        <w:rPr>
          <w:lang w:val="en"/>
        </w:rPr>
        <w:t>Nigeria</w:t>
      </w:r>
    </w:p>
    <w:p w14:paraId="303AB001" w14:textId="229BBD1A" w:rsidR="00114701" w:rsidRDefault="00114701" w:rsidP="000964FB">
      <w:pPr>
        <w:rPr>
          <w:color w:val="000000"/>
        </w:rPr>
      </w:pPr>
      <w:bookmarkStart w:id="21" w:name="F"/>
      <w:bookmarkEnd w:id="21"/>
      <w:r>
        <w:rPr>
          <w:b/>
          <w:bCs/>
          <w:color w:val="000000"/>
        </w:rPr>
        <w:t>The Central Bank of Nigeria</w:t>
      </w:r>
      <w:r w:rsidR="00DE2067">
        <w:rPr>
          <w:b/>
          <w:bCs/>
          <w:color w:val="000000"/>
        </w:rPr>
        <w:t xml:space="preserve"> </w:t>
      </w:r>
      <w:r>
        <w:rPr>
          <w:b/>
          <w:bCs/>
          <w:color w:val="000000"/>
        </w:rPr>
        <w:t xml:space="preserve">cut banks’ loan-to-deposit ratio to 50%, (previous 65%) </w:t>
      </w:r>
      <w:proofErr w:type="gramStart"/>
      <w:r>
        <w:rPr>
          <w:b/>
          <w:bCs/>
          <w:color w:val="000000"/>
        </w:rPr>
        <w:t>in an effort to</w:t>
      </w:r>
      <w:proofErr w:type="gramEnd"/>
      <w:r>
        <w:rPr>
          <w:b/>
          <w:bCs/>
          <w:color w:val="000000"/>
        </w:rPr>
        <w:t xml:space="preserve"> reduce liquidity and harness inflation (31.7%y/y in March).</w:t>
      </w:r>
      <w:r>
        <w:rPr>
          <w:color w:val="000000"/>
        </w:rPr>
        <w:t xml:space="preserve"> The move comes after the central bank increased the minimum reserve requirement for banks to</w:t>
      </w:r>
      <w:r w:rsidR="00DE2067">
        <w:rPr>
          <w:color w:val="000000"/>
        </w:rPr>
        <w:t xml:space="preserve"> </w:t>
      </w:r>
      <w:r>
        <w:rPr>
          <w:color w:val="000000"/>
        </w:rPr>
        <w:t>45%</w:t>
      </w:r>
      <w:r w:rsidR="00DE2067">
        <w:rPr>
          <w:color w:val="000000"/>
        </w:rPr>
        <w:t xml:space="preserve"> </w:t>
      </w:r>
      <w:r>
        <w:rPr>
          <w:color w:val="000000"/>
        </w:rPr>
        <w:t xml:space="preserve">from 32.5% in February and raised the benchmark interest rate by </w:t>
      </w:r>
      <w:proofErr w:type="gramStart"/>
      <w:r>
        <w:rPr>
          <w:color w:val="000000"/>
        </w:rPr>
        <w:t>600</w:t>
      </w:r>
      <w:proofErr w:type="gramEnd"/>
      <w:r>
        <w:rPr>
          <w:color w:val="000000"/>
        </w:rPr>
        <w:t xml:space="preserve"> basis points to 24.75% between February and March. </w:t>
      </w:r>
      <w:r w:rsidR="00791EC4" w:rsidRPr="00791EC4">
        <w:rPr>
          <w:color w:val="000000"/>
        </w:rPr>
        <w:t xml:space="preserve">After losing 44% of its value against the dollar form the begging of the year until mid-March, the naira has </w:t>
      </w:r>
      <w:r w:rsidR="00791EC4">
        <w:rPr>
          <w:color w:val="000000"/>
        </w:rPr>
        <w:t>partially recovered,</w:t>
      </w:r>
      <w:r w:rsidR="00791EC4" w:rsidRPr="00791EC4">
        <w:rPr>
          <w:color w:val="000000"/>
        </w:rPr>
        <w:t xml:space="preserve"> </w:t>
      </w:r>
      <w:r w:rsidR="00791EC4">
        <w:rPr>
          <w:color w:val="000000"/>
        </w:rPr>
        <w:t>but</w:t>
      </w:r>
      <w:r w:rsidR="00791EC4" w:rsidRPr="00791EC4">
        <w:rPr>
          <w:color w:val="000000"/>
        </w:rPr>
        <w:t xml:space="preserve"> is </w:t>
      </w:r>
      <w:r w:rsidR="00791EC4">
        <w:rPr>
          <w:color w:val="000000"/>
        </w:rPr>
        <w:t>still</w:t>
      </w:r>
      <w:r w:rsidR="00791EC4" w:rsidRPr="00791EC4">
        <w:rPr>
          <w:color w:val="000000"/>
        </w:rPr>
        <w:t xml:space="preserve"> roughly 22% weaker than at the start of the year</w:t>
      </w:r>
      <w:r>
        <w:rPr>
          <w:color w:val="000000"/>
        </w:rPr>
        <w:t>.</w:t>
      </w:r>
    </w:p>
    <w:p w14:paraId="1FB9AD07" w14:textId="35C2434B" w:rsidR="0057295F" w:rsidRDefault="000964FB" w:rsidP="000964FB">
      <w:pPr>
        <w:jc w:val="center"/>
      </w:pPr>
      <w:r>
        <w:rPr>
          <w:b/>
          <w:bCs/>
          <w:noProof/>
        </w:rPr>
        <mc:AlternateContent>
          <mc:Choice Requires="wps">
            <w:drawing>
              <wp:anchor distT="0" distB="0" distL="114300" distR="114300" simplePos="0" relativeHeight="251662336" behindDoc="0" locked="0" layoutInCell="1" allowOverlap="1" wp14:anchorId="6CB35913" wp14:editId="1CA49219">
                <wp:simplePos x="0" y="0"/>
                <wp:positionH relativeFrom="margin">
                  <wp:posOffset>-95250</wp:posOffset>
                </wp:positionH>
                <wp:positionV relativeFrom="paragraph">
                  <wp:posOffset>2181225</wp:posOffset>
                </wp:positionV>
                <wp:extent cx="6115792" cy="2124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15792" cy="2124075"/>
                        </a:xfrm>
                        <a:prstGeom prst="rect">
                          <a:avLst/>
                        </a:prstGeom>
                        <a:noFill/>
                        <a:ln w="6350">
                          <a:noFill/>
                        </a:ln>
                      </wps:spPr>
                      <wps:txbx>
                        <w:txbxContent>
                          <w:p w14:paraId="738C7B78" w14:textId="33439B66" w:rsidR="00B5049C" w:rsidRPr="000964FB" w:rsidRDefault="00B5049C" w:rsidP="00B5049C">
                            <w:pPr>
                              <w:pStyle w:val="Default"/>
                              <w:spacing w:before="120" w:line="276" w:lineRule="auto"/>
                              <w:ind w:right="65"/>
                              <w:jc w:val="both"/>
                              <w:rPr>
                                <w:color w:val="004B97"/>
                                <w:sz w:val="15"/>
                                <w:szCs w:val="15"/>
                              </w:rPr>
                            </w:pPr>
                            <w:r w:rsidRPr="000964FB">
                              <w:rPr>
                                <w:i/>
                                <w:iCs/>
                                <w:color w:val="004B97"/>
                                <w:sz w:val="15"/>
                                <w:szCs w:val="15"/>
                              </w:rPr>
                              <w:t>This monitor is prepared under the guidance of Jason Wu (Assistant Director), Charles Cohen (</w:t>
                            </w:r>
                            <w:r w:rsidR="00F67B95" w:rsidRPr="000964FB">
                              <w:rPr>
                                <w:i/>
                                <w:iCs/>
                                <w:color w:val="004B97"/>
                                <w:sz w:val="15"/>
                                <w:szCs w:val="15"/>
                              </w:rPr>
                              <w:t>Advisor</w:t>
                            </w:r>
                            <w:r w:rsidRPr="000964FB">
                              <w:rPr>
                                <w:i/>
                                <w:iCs/>
                                <w:color w:val="004B97"/>
                                <w:sz w:val="15"/>
                                <w:szCs w:val="15"/>
                              </w:rPr>
                              <w:t xml:space="preserve">), Nassira Abbas (Deputy Division Chief), </w:t>
                            </w:r>
                            <w:r w:rsidR="000422AE" w:rsidRPr="000964FB">
                              <w:rPr>
                                <w:i/>
                                <w:iCs/>
                                <w:color w:val="004B97"/>
                                <w:sz w:val="15"/>
                                <w:szCs w:val="15"/>
                              </w:rPr>
                              <w:t>Caio Ferreira (</w:t>
                            </w:r>
                            <w:r w:rsidRPr="000964FB">
                              <w:rPr>
                                <w:i/>
                                <w:iCs/>
                                <w:color w:val="004B97"/>
                                <w:sz w:val="15"/>
                                <w:szCs w:val="15"/>
                              </w:rPr>
                              <w:t>Deputy Division Chief)</w:t>
                            </w:r>
                            <w:r w:rsidR="002605E4" w:rsidRPr="000964FB">
                              <w:rPr>
                                <w:i/>
                                <w:iCs/>
                                <w:color w:val="004B97"/>
                                <w:sz w:val="15"/>
                                <w:szCs w:val="15"/>
                              </w:rPr>
                              <w:t xml:space="preserve"> and Sheheryar Malik (Deputy Division Chief)</w:t>
                            </w:r>
                            <w:r w:rsidRPr="000964FB">
                              <w:rPr>
                                <w:i/>
                                <w:iCs/>
                                <w:color w:val="004B97"/>
                                <w:sz w:val="15"/>
                                <w:szCs w:val="15"/>
                              </w:rPr>
                              <w:t>. Fabio Cortes (Senior Economist), Sanjay Hazarika (Senior Financial Sector Expert), Esti Kemp (Financial Sector Expert-London Representative),</w:t>
                            </w:r>
                            <w:r w:rsidR="00312713" w:rsidRPr="000964FB">
                              <w:rPr>
                                <w:i/>
                                <w:iCs/>
                                <w:color w:val="004B97"/>
                                <w:sz w:val="15"/>
                                <w:szCs w:val="15"/>
                              </w:rPr>
                              <w:t xml:space="preserve"> </w:t>
                            </w:r>
                            <w:r w:rsidRPr="000964FB">
                              <w:rPr>
                                <w:i/>
                                <w:iCs/>
                                <w:color w:val="004B97"/>
                                <w:sz w:val="15"/>
                                <w:szCs w:val="15"/>
                              </w:rPr>
                              <w:t>Johannes</w:t>
                            </w:r>
                            <w:r w:rsidR="00312713" w:rsidRPr="000964FB">
                              <w:rPr>
                                <w:i/>
                                <w:iCs/>
                                <w:color w:val="004B97"/>
                                <w:sz w:val="15"/>
                                <w:szCs w:val="15"/>
                              </w:rPr>
                              <w:t xml:space="preserve"> </w:t>
                            </w:r>
                            <w:r w:rsidRPr="000964FB">
                              <w:rPr>
                                <w:i/>
                                <w:iCs/>
                                <w:color w:val="004B97"/>
                                <w:sz w:val="15"/>
                                <w:szCs w:val="15"/>
                              </w:rPr>
                              <w:t>S Kramer (</w:t>
                            </w:r>
                            <w:r w:rsidR="005B54EC" w:rsidRPr="000964FB">
                              <w:rPr>
                                <w:i/>
                                <w:iCs/>
                                <w:color w:val="004B97"/>
                                <w:sz w:val="15"/>
                                <w:szCs w:val="15"/>
                              </w:rPr>
                              <w:t>Senior Financial Sector Expert-</w:t>
                            </w:r>
                            <w:r w:rsidRPr="000964FB">
                              <w:rPr>
                                <w:i/>
                                <w:iCs/>
                                <w:color w:val="004B97"/>
                                <w:sz w:val="15"/>
                                <w:szCs w:val="15"/>
                              </w:rPr>
                              <w:t>New York Representative</w:t>
                            </w:r>
                            <w:r w:rsidR="00312713" w:rsidRPr="000964FB">
                              <w:rPr>
                                <w:i/>
                                <w:iCs/>
                                <w:color w:val="004B97"/>
                                <w:sz w:val="15"/>
                                <w:szCs w:val="15"/>
                              </w:rPr>
                              <w:t>)</w:t>
                            </w:r>
                            <w:r w:rsidRPr="000964FB">
                              <w:rPr>
                                <w:i/>
                                <w:iCs/>
                                <w:color w:val="004B97"/>
                                <w:sz w:val="15"/>
                                <w:szCs w:val="15"/>
                              </w:rPr>
                              <w:t xml:space="preserve">, </w:t>
                            </w:r>
                            <w:r w:rsidR="00A90A00" w:rsidRPr="000964FB">
                              <w:rPr>
                                <w:i/>
                                <w:iCs/>
                                <w:color w:val="004B97"/>
                                <w:sz w:val="15"/>
                                <w:szCs w:val="15"/>
                              </w:rPr>
                              <w:t xml:space="preserve">Benjamin Mosk (Senior Financial Sector Expert), </w:t>
                            </w:r>
                            <w:r w:rsidR="00982E26" w:rsidRPr="000964FB">
                              <w:rPr>
                                <w:i/>
                                <w:iCs/>
                                <w:color w:val="004B97"/>
                                <w:sz w:val="15"/>
                                <w:szCs w:val="15"/>
                              </w:rPr>
                              <w:t xml:space="preserve">Patrick Schneider (Financial Sector Expert), </w:t>
                            </w:r>
                            <w:r w:rsidR="00A90A00" w:rsidRPr="000964FB">
                              <w:rPr>
                                <w:i/>
                                <w:iCs/>
                                <w:color w:val="004B97"/>
                                <w:sz w:val="15"/>
                                <w:szCs w:val="15"/>
                              </w:rPr>
                              <w:t xml:space="preserve">and </w:t>
                            </w:r>
                            <w:r w:rsidRPr="000964FB">
                              <w:rPr>
                                <w:i/>
                                <w:iCs/>
                                <w:color w:val="004B97"/>
                                <w:sz w:val="15"/>
                                <w:szCs w:val="15"/>
                              </w:rPr>
                              <w:t>Jeff Williams (Senior Financial Sector Expert)</w:t>
                            </w:r>
                            <w:r w:rsidR="00A90A00" w:rsidRPr="000964FB">
                              <w:rPr>
                                <w:i/>
                                <w:iCs/>
                                <w:color w:val="004B97"/>
                                <w:sz w:val="15"/>
                                <w:szCs w:val="15"/>
                              </w:rPr>
                              <w:t xml:space="preserve"> </w:t>
                            </w:r>
                            <w:r w:rsidRPr="000964FB">
                              <w:rPr>
                                <w:i/>
                                <w:iCs/>
                                <w:color w:val="004B97"/>
                                <w:sz w:val="15"/>
                                <w:szCs w:val="15"/>
                              </w:rPr>
                              <w:t>are the lead editors of this monitor. The contributors are</w:t>
                            </w:r>
                            <w:r w:rsidR="00811F21" w:rsidRPr="000964FB">
                              <w:rPr>
                                <w:i/>
                                <w:iCs/>
                                <w:color w:val="004B97"/>
                                <w:sz w:val="15"/>
                                <w:szCs w:val="15"/>
                              </w:rPr>
                              <w:t xml:space="preserve"> </w:t>
                            </w:r>
                            <w:r w:rsidR="007A1B54" w:rsidRPr="000964FB">
                              <w:rPr>
                                <w:i/>
                                <w:iCs/>
                                <w:color w:val="004B97"/>
                                <w:sz w:val="15"/>
                                <w:szCs w:val="15"/>
                              </w:rPr>
                              <w:t xml:space="preserve">Mustafa Oguz Caylan (Research Officer), </w:t>
                            </w:r>
                            <w:r w:rsidRPr="000964FB">
                              <w:rPr>
                                <w:i/>
                                <w:iCs/>
                                <w:color w:val="004B97"/>
                                <w:sz w:val="15"/>
                                <w:szCs w:val="15"/>
                              </w:rPr>
                              <w:t xml:space="preserve">Yingyuan Chen (Financial Sector Expert), </w:t>
                            </w:r>
                            <w:r w:rsidR="00811F21" w:rsidRPr="000964FB">
                              <w:rPr>
                                <w:i/>
                                <w:iCs/>
                                <w:color w:val="004B97"/>
                                <w:sz w:val="15"/>
                                <w:szCs w:val="15"/>
                              </w:rPr>
                              <w:t xml:space="preserve">Andrew Ferrante (Research Assistant), </w:t>
                            </w:r>
                            <w:r w:rsidRPr="000964FB">
                              <w:rPr>
                                <w:i/>
                                <w:iCs/>
                                <w:color w:val="004B97"/>
                                <w:sz w:val="15"/>
                                <w:szCs w:val="15"/>
                              </w:rPr>
                              <w:t>Deepali Gautam (</w:t>
                            </w:r>
                            <w:r w:rsidR="0098233E" w:rsidRPr="000964FB">
                              <w:rPr>
                                <w:i/>
                                <w:iCs/>
                                <w:color w:val="004B97"/>
                                <w:sz w:val="15"/>
                                <w:szCs w:val="15"/>
                              </w:rPr>
                              <w:t xml:space="preserve">Senior </w:t>
                            </w:r>
                            <w:r w:rsidRPr="000964FB">
                              <w:rPr>
                                <w:i/>
                                <w:iCs/>
                                <w:color w:val="004B97"/>
                                <w:sz w:val="15"/>
                                <w:szCs w:val="15"/>
                              </w:rPr>
                              <w:t>Research Officer), Phakawa Jeasakul (IMF Resident Representative in Hong Kong SAR),</w:t>
                            </w:r>
                            <w:bookmarkStart w:id="22" w:name="_Hlk115937419"/>
                            <w:r w:rsidRPr="000964FB">
                              <w:rPr>
                                <w:i/>
                                <w:iCs/>
                                <w:color w:val="004B97"/>
                                <w:sz w:val="15"/>
                                <w:szCs w:val="15"/>
                              </w:rPr>
                              <w:t xml:space="preserve"> Harrison Kraus (Research Assistant), </w:t>
                            </w:r>
                            <w:bookmarkEnd w:id="22"/>
                            <w:r w:rsidRPr="000964FB">
                              <w:rPr>
                                <w:i/>
                                <w:iCs/>
                                <w:color w:val="004B97"/>
                                <w:sz w:val="15"/>
                                <w:szCs w:val="15"/>
                              </w:rPr>
                              <w:t>Yiran Li (Research Assistant), Xiang-Li Lim (Financial Sector Expert),</w:t>
                            </w:r>
                            <w:r w:rsidR="0098212D" w:rsidRPr="000964FB">
                              <w:rPr>
                                <w:i/>
                                <w:iCs/>
                                <w:color w:val="004B97"/>
                                <w:sz w:val="15"/>
                                <w:szCs w:val="15"/>
                              </w:rPr>
                              <w:t xml:space="preserve"> Corrado Macchiarelli (Economist), </w:t>
                            </w:r>
                            <w:r w:rsidRPr="000964FB">
                              <w:rPr>
                                <w:i/>
                                <w:iCs/>
                                <w:color w:val="004B97"/>
                                <w:sz w:val="15"/>
                                <w:szCs w:val="15"/>
                              </w:rPr>
                              <w:t xml:space="preserve">Kleopatra Nikolaou (Senior Financial Sector Expert), Natalia Novikova (IMF Resident Representative in Singapore), </w:t>
                            </w:r>
                            <w:r w:rsidR="002605E4" w:rsidRPr="000964FB">
                              <w:rPr>
                                <w:i/>
                                <w:iCs/>
                                <w:color w:val="004B97"/>
                                <w:sz w:val="15"/>
                                <w:szCs w:val="15"/>
                              </w:rPr>
                              <w:t>Sona</w:t>
                            </w:r>
                            <w:r w:rsidR="0086637A" w:rsidRPr="000964FB">
                              <w:rPr>
                                <w:i/>
                                <w:iCs/>
                                <w:color w:val="004B97"/>
                                <w:sz w:val="15"/>
                                <w:szCs w:val="15"/>
                              </w:rPr>
                              <w:t>l</w:t>
                            </w:r>
                            <w:r w:rsidR="002605E4" w:rsidRPr="000964FB">
                              <w:rPr>
                                <w:i/>
                                <w:iCs/>
                                <w:color w:val="004B97"/>
                                <w:sz w:val="15"/>
                                <w:szCs w:val="15"/>
                              </w:rPr>
                              <w:t xml:space="preserve"> Patel (Senior Financial Sector Expert-London Representative), </w:t>
                            </w:r>
                            <w:r w:rsidRPr="000964FB">
                              <w:rPr>
                                <w:i/>
                                <w:iCs/>
                                <w:color w:val="004B97"/>
                                <w:sz w:val="15"/>
                                <w:szCs w:val="15"/>
                              </w:rPr>
                              <w:t xml:space="preserve">Silvia Ramirez (Senior Financial Sector Expert), Ying Xu (Economist), Dmitry Yakovlev (Senior Research Officer), and Akihiko Yokoyama (Senior Financial Sector Expert). Javier Chang (Senior Administrative </w:t>
                            </w:r>
                            <w:r w:rsidR="00312713" w:rsidRPr="000964FB">
                              <w:rPr>
                                <w:i/>
                                <w:iCs/>
                                <w:color w:val="004B97"/>
                                <w:sz w:val="15"/>
                                <w:szCs w:val="15"/>
                              </w:rPr>
                              <w:t>Coordinator</w:t>
                            </w:r>
                            <w:r w:rsidRPr="000964FB">
                              <w:rPr>
                                <w:i/>
                                <w:iCs/>
                                <w:color w:val="004B97"/>
                                <w:sz w:val="15"/>
                                <w:szCs w:val="15"/>
                              </w:rPr>
                              <w:t xml:space="preserve">), </w:t>
                            </w:r>
                            <w:r w:rsidR="00312713" w:rsidRPr="000964FB">
                              <w:rPr>
                                <w:i/>
                                <w:iCs/>
                                <w:color w:val="004B97"/>
                                <w:sz w:val="15"/>
                                <w:szCs w:val="15"/>
                              </w:rPr>
                              <w:t xml:space="preserve">Lauren Kao </w:t>
                            </w:r>
                            <w:r w:rsidRPr="000964FB">
                              <w:rPr>
                                <w:i/>
                                <w:iCs/>
                                <w:color w:val="004B97"/>
                                <w:sz w:val="15"/>
                                <w:szCs w:val="15"/>
                              </w:rPr>
                              <w:t>(</w:t>
                            </w:r>
                            <w:r w:rsidR="00312713" w:rsidRPr="000964FB">
                              <w:rPr>
                                <w:i/>
                                <w:iCs/>
                                <w:color w:val="004B97"/>
                                <w:sz w:val="15"/>
                                <w:szCs w:val="15"/>
                              </w:rPr>
                              <w:t>Administrative Coordinator</w:t>
                            </w:r>
                            <w:r w:rsidRPr="000964FB">
                              <w:rPr>
                                <w:i/>
                                <w:iCs/>
                                <w:color w:val="004B97"/>
                                <w:sz w:val="15"/>
                                <w:szCs w:val="15"/>
                              </w:rPr>
                              <w:t xml:space="preserve">), and Srujana Sammeta </w:t>
                            </w:r>
                            <w:r w:rsidR="00312713" w:rsidRPr="000964FB">
                              <w:rPr>
                                <w:i/>
                                <w:iCs/>
                                <w:color w:val="004B97"/>
                                <w:sz w:val="15"/>
                                <w:szCs w:val="15"/>
                              </w:rPr>
                              <w:t>(Administrative Coordinator)</w:t>
                            </w:r>
                            <w:r w:rsidRPr="000964FB">
                              <w:rPr>
                                <w:i/>
                                <w:iCs/>
                                <w:color w:val="004B97"/>
                                <w:sz w:val="15"/>
                                <w:szCs w:val="15"/>
                              </w:rPr>
                              <w:t xml:space="preserve"> are responsible for the word processing and production of this monitor. </w:t>
                            </w:r>
                          </w:p>
                          <w:p w14:paraId="6F69ACE4" w14:textId="77777777" w:rsidR="00B5049C" w:rsidRPr="000964FB" w:rsidRDefault="00B5049C" w:rsidP="00B5049C">
                            <w:pPr>
                              <w:spacing w:before="120" w:after="0"/>
                              <w:ind w:right="65"/>
                              <w:rPr>
                                <w:color w:val="004B97"/>
                                <w:sz w:val="15"/>
                                <w:szCs w:val="15"/>
                              </w:rPr>
                            </w:pPr>
                            <w:r w:rsidRPr="000964FB">
                              <w:rPr>
                                <w:b/>
                                <w:bCs/>
                                <w:i/>
                                <w:iCs/>
                                <w:color w:val="004B97"/>
                                <w:sz w:val="15"/>
                                <w:szCs w:val="15"/>
                              </w:rPr>
                              <w:t xml:space="preserve">Disclaimer: </w:t>
                            </w:r>
                            <w:r w:rsidRPr="000964FB">
                              <w:rPr>
                                <w:i/>
                                <w:iCs/>
                                <w:color w:val="004B97"/>
                                <w:sz w:val="15"/>
                                <w:szCs w:val="15"/>
                              </w:rPr>
                              <w:t>This is an internal document produced by the Global Markets Analysis Division (GA) of the Monetary and Capital Markets Department. It reflects GA staff’s interpretation and analysis of market views and developments. Market views presented may or may not reflect a consensus of market participants. GA staff do not independently verify the accuracy of all data and events presented in this document.</w:t>
                            </w:r>
                          </w:p>
                          <w:p w14:paraId="441AA23C" w14:textId="77777777" w:rsidR="00B5049C" w:rsidRPr="00347C8A" w:rsidRDefault="00B5049C" w:rsidP="00B5049C">
                            <w:pPr>
                              <w:ind w:right="65"/>
                              <w:rPr>
                                <w:sz w:val="16"/>
                                <w:szCs w:val="16"/>
                              </w:rPr>
                            </w:pPr>
                          </w:p>
                          <w:p w14:paraId="763AE28C" w14:textId="77777777" w:rsidR="000F409B" w:rsidRPr="00347C8A" w:rsidRDefault="000F409B" w:rsidP="0058147D">
                            <w:pPr>
                              <w:ind w:right="65"/>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35913" id="_x0000_t202" coordsize="21600,21600" o:spt="202" path="m,l,21600r21600,l21600,xe">
                <v:stroke joinstyle="miter"/>
                <v:path gradientshapeok="t" o:connecttype="rect"/>
              </v:shapetype>
              <v:shape id="Text Box 3" o:spid="_x0000_s1026" type="#_x0000_t202" style="position:absolute;left:0;text-align:left;margin-left:-7.5pt;margin-top:171.75pt;width:481.55pt;height:16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" filled="f" stroked="f" strokeweight=".5pt">
                <v:textbox>
                  <w:txbxContent>
                    <w:p w14:paraId="738C7B78" w14:textId="33439B66" w:rsidR="00B5049C" w:rsidRPr="000964FB" w:rsidRDefault="00B5049C" w:rsidP="00B5049C">
                      <w:pPr>
                        <w:pStyle w:val="Default"/>
                        <w:spacing w:before="120" w:line="276" w:lineRule="auto"/>
                        <w:ind w:right="65"/>
                        <w:jc w:val="both"/>
                        <w:rPr>
                          <w:color w:val="004B97"/>
                          <w:sz w:val="15"/>
                          <w:szCs w:val="15"/>
                        </w:rPr>
                      </w:pPr>
                      <w:r w:rsidRPr="000964FB">
                        <w:rPr>
                          <w:i/>
                          <w:iCs/>
                          <w:color w:val="004B97"/>
                          <w:sz w:val="15"/>
                          <w:szCs w:val="15"/>
                        </w:rPr>
                        <w:t>This monitor is prepared under the guidance of Jason Wu (Assistant Director), Charles Cohen (</w:t>
                      </w:r>
                      <w:r w:rsidR="00F67B95" w:rsidRPr="000964FB">
                        <w:rPr>
                          <w:i/>
                          <w:iCs/>
                          <w:color w:val="004B97"/>
                          <w:sz w:val="15"/>
                          <w:szCs w:val="15"/>
                        </w:rPr>
                        <w:t>Advisor</w:t>
                      </w:r>
                      <w:r w:rsidRPr="000964FB">
                        <w:rPr>
                          <w:i/>
                          <w:iCs/>
                          <w:color w:val="004B97"/>
                          <w:sz w:val="15"/>
                          <w:szCs w:val="15"/>
                        </w:rPr>
                        <w:t xml:space="preserve">), Nassira Abbas (Deputy Division Chief), </w:t>
                      </w:r>
                      <w:r w:rsidR="000422AE" w:rsidRPr="000964FB">
                        <w:rPr>
                          <w:i/>
                          <w:iCs/>
                          <w:color w:val="004B97"/>
                          <w:sz w:val="15"/>
                          <w:szCs w:val="15"/>
                        </w:rPr>
                        <w:t>Caio Ferreira (</w:t>
                      </w:r>
                      <w:r w:rsidRPr="000964FB">
                        <w:rPr>
                          <w:i/>
                          <w:iCs/>
                          <w:color w:val="004B97"/>
                          <w:sz w:val="15"/>
                          <w:szCs w:val="15"/>
                        </w:rPr>
                        <w:t>Deputy Division Chief)</w:t>
                      </w:r>
                      <w:r w:rsidR="002605E4" w:rsidRPr="000964FB">
                        <w:rPr>
                          <w:i/>
                          <w:iCs/>
                          <w:color w:val="004B97"/>
                          <w:sz w:val="15"/>
                          <w:szCs w:val="15"/>
                        </w:rPr>
                        <w:t xml:space="preserve"> and Sheheryar Malik (Deputy Division Chief)</w:t>
                      </w:r>
                      <w:r w:rsidRPr="000964FB">
                        <w:rPr>
                          <w:i/>
                          <w:iCs/>
                          <w:color w:val="004B97"/>
                          <w:sz w:val="15"/>
                          <w:szCs w:val="15"/>
                        </w:rPr>
                        <w:t>. Fabio Cortes (Senior Economist), Sanjay Hazarika (Senior Financial Sector Expert), Esti Kemp (Financial Sector Expert-London Representative),</w:t>
                      </w:r>
                      <w:r w:rsidR="00312713" w:rsidRPr="000964FB">
                        <w:rPr>
                          <w:i/>
                          <w:iCs/>
                          <w:color w:val="004B97"/>
                          <w:sz w:val="15"/>
                          <w:szCs w:val="15"/>
                        </w:rPr>
                        <w:t xml:space="preserve"> </w:t>
                      </w:r>
                      <w:r w:rsidRPr="000964FB">
                        <w:rPr>
                          <w:i/>
                          <w:iCs/>
                          <w:color w:val="004B97"/>
                          <w:sz w:val="15"/>
                          <w:szCs w:val="15"/>
                        </w:rPr>
                        <w:t>Johannes</w:t>
                      </w:r>
                      <w:r w:rsidR="00312713" w:rsidRPr="000964FB">
                        <w:rPr>
                          <w:i/>
                          <w:iCs/>
                          <w:color w:val="004B97"/>
                          <w:sz w:val="15"/>
                          <w:szCs w:val="15"/>
                        </w:rPr>
                        <w:t xml:space="preserve"> </w:t>
                      </w:r>
                      <w:r w:rsidRPr="000964FB">
                        <w:rPr>
                          <w:i/>
                          <w:iCs/>
                          <w:color w:val="004B97"/>
                          <w:sz w:val="15"/>
                          <w:szCs w:val="15"/>
                        </w:rPr>
                        <w:t>S Kramer (</w:t>
                      </w:r>
                      <w:r w:rsidR="005B54EC" w:rsidRPr="000964FB">
                        <w:rPr>
                          <w:i/>
                          <w:iCs/>
                          <w:color w:val="004B97"/>
                          <w:sz w:val="15"/>
                          <w:szCs w:val="15"/>
                        </w:rPr>
                        <w:t>Senior Financial Sector Expert-</w:t>
                      </w:r>
                      <w:r w:rsidRPr="000964FB">
                        <w:rPr>
                          <w:i/>
                          <w:iCs/>
                          <w:color w:val="004B97"/>
                          <w:sz w:val="15"/>
                          <w:szCs w:val="15"/>
                        </w:rPr>
                        <w:t>New York Representative</w:t>
                      </w:r>
                      <w:r w:rsidR="00312713" w:rsidRPr="000964FB">
                        <w:rPr>
                          <w:i/>
                          <w:iCs/>
                          <w:color w:val="004B97"/>
                          <w:sz w:val="15"/>
                          <w:szCs w:val="15"/>
                        </w:rPr>
                        <w:t>)</w:t>
                      </w:r>
                      <w:r w:rsidRPr="000964FB">
                        <w:rPr>
                          <w:i/>
                          <w:iCs/>
                          <w:color w:val="004B97"/>
                          <w:sz w:val="15"/>
                          <w:szCs w:val="15"/>
                        </w:rPr>
                        <w:t xml:space="preserve">, </w:t>
                      </w:r>
                      <w:r w:rsidR="00A90A00" w:rsidRPr="000964FB">
                        <w:rPr>
                          <w:i/>
                          <w:iCs/>
                          <w:color w:val="004B97"/>
                          <w:sz w:val="15"/>
                          <w:szCs w:val="15"/>
                        </w:rPr>
                        <w:t xml:space="preserve">Benjamin Mosk (Senior Financial Sector Expert), </w:t>
                      </w:r>
                      <w:r w:rsidR="00982E26" w:rsidRPr="000964FB">
                        <w:rPr>
                          <w:i/>
                          <w:iCs/>
                          <w:color w:val="004B97"/>
                          <w:sz w:val="15"/>
                          <w:szCs w:val="15"/>
                        </w:rPr>
                        <w:t xml:space="preserve">Patrick Schneider (Financial Sector Expert), </w:t>
                      </w:r>
                      <w:r w:rsidR="00A90A00" w:rsidRPr="000964FB">
                        <w:rPr>
                          <w:i/>
                          <w:iCs/>
                          <w:color w:val="004B97"/>
                          <w:sz w:val="15"/>
                          <w:szCs w:val="15"/>
                        </w:rPr>
                        <w:t xml:space="preserve">and </w:t>
                      </w:r>
                      <w:r w:rsidRPr="000964FB">
                        <w:rPr>
                          <w:i/>
                          <w:iCs/>
                          <w:color w:val="004B97"/>
                          <w:sz w:val="15"/>
                          <w:szCs w:val="15"/>
                        </w:rPr>
                        <w:t>Jeff Williams (Senior Financial Sector Expert)</w:t>
                      </w:r>
                      <w:r w:rsidR="00A90A00" w:rsidRPr="000964FB">
                        <w:rPr>
                          <w:i/>
                          <w:iCs/>
                          <w:color w:val="004B97"/>
                          <w:sz w:val="15"/>
                          <w:szCs w:val="15"/>
                        </w:rPr>
                        <w:t xml:space="preserve"> </w:t>
                      </w:r>
                      <w:r w:rsidRPr="000964FB">
                        <w:rPr>
                          <w:i/>
                          <w:iCs/>
                          <w:color w:val="004B97"/>
                          <w:sz w:val="15"/>
                          <w:szCs w:val="15"/>
                        </w:rPr>
                        <w:t>are the lead editors of this monitor. The contributors are</w:t>
                      </w:r>
                      <w:r w:rsidR="00811F21" w:rsidRPr="000964FB">
                        <w:rPr>
                          <w:i/>
                          <w:iCs/>
                          <w:color w:val="004B97"/>
                          <w:sz w:val="15"/>
                          <w:szCs w:val="15"/>
                        </w:rPr>
                        <w:t xml:space="preserve"> </w:t>
                      </w:r>
                      <w:r w:rsidR="007A1B54" w:rsidRPr="000964FB">
                        <w:rPr>
                          <w:i/>
                          <w:iCs/>
                          <w:color w:val="004B97"/>
                          <w:sz w:val="15"/>
                          <w:szCs w:val="15"/>
                        </w:rPr>
                        <w:t xml:space="preserve">Mustafa Oguz Caylan (Research Officer), </w:t>
                      </w:r>
                      <w:r w:rsidRPr="000964FB">
                        <w:rPr>
                          <w:i/>
                          <w:iCs/>
                          <w:color w:val="004B97"/>
                          <w:sz w:val="15"/>
                          <w:szCs w:val="15"/>
                        </w:rPr>
                        <w:t xml:space="preserve">Yingyuan Chen (Financial Sector Expert), </w:t>
                      </w:r>
                      <w:r w:rsidR="00811F21" w:rsidRPr="000964FB">
                        <w:rPr>
                          <w:i/>
                          <w:iCs/>
                          <w:color w:val="004B97"/>
                          <w:sz w:val="15"/>
                          <w:szCs w:val="15"/>
                        </w:rPr>
                        <w:t xml:space="preserve">Andrew Ferrante (Research Assistant), </w:t>
                      </w:r>
                      <w:r w:rsidRPr="000964FB">
                        <w:rPr>
                          <w:i/>
                          <w:iCs/>
                          <w:color w:val="004B97"/>
                          <w:sz w:val="15"/>
                          <w:szCs w:val="15"/>
                        </w:rPr>
                        <w:t>Deepali Gautam (</w:t>
                      </w:r>
                      <w:r w:rsidR="0098233E" w:rsidRPr="000964FB">
                        <w:rPr>
                          <w:i/>
                          <w:iCs/>
                          <w:color w:val="004B97"/>
                          <w:sz w:val="15"/>
                          <w:szCs w:val="15"/>
                        </w:rPr>
                        <w:t xml:space="preserve">Senior </w:t>
                      </w:r>
                      <w:r w:rsidRPr="000964FB">
                        <w:rPr>
                          <w:i/>
                          <w:iCs/>
                          <w:color w:val="004B97"/>
                          <w:sz w:val="15"/>
                          <w:szCs w:val="15"/>
                        </w:rPr>
                        <w:t>Research Officer), Phakawa Jeasakul (IMF Resident Representative in Hong Kong SAR),</w:t>
                      </w:r>
                      <w:bookmarkStart w:id="23" w:name="_Hlk115937419"/>
                      <w:r w:rsidRPr="000964FB">
                        <w:rPr>
                          <w:i/>
                          <w:iCs/>
                          <w:color w:val="004B97"/>
                          <w:sz w:val="15"/>
                          <w:szCs w:val="15"/>
                        </w:rPr>
                        <w:t xml:space="preserve"> Harrison Kraus (Research Assistant), </w:t>
                      </w:r>
                      <w:bookmarkEnd w:id="23"/>
                      <w:r w:rsidRPr="000964FB">
                        <w:rPr>
                          <w:i/>
                          <w:iCs/>
                          <w:color w:val="004B97"/>
                          <w:sz w:val="15"/>
                          <w:szCs w:val="15"/>
                        </w:rPr>
                        <w:t>Yiran Li (Research Assistant), Xiang-Li Lim (Financial Sector Expert),</w:t>
                      </w:r>
                      <w:r w:rsidR="0098212D" w:rsidRPr="000964FB">
                        <w:rPr>
                          <w:i/>
                          <w:iCs/>
                          <w:color w:val="004B97"/>
                          <w:sz w:val="15"/>
                          <w:szCs w:val="15"/>
                        </w:rPr>
                        <w:t xml:space="preserve"> Corrado Macchiarelli (Economist), </w:t>
                      </w:r>
                      <w:r w:rsidRPr="000964FB">
                        <w:rPr>
                          <w:i/>
                          <w:iCs/>
                          <w:color w:val="004B97"/>
                          <w:sz w:val="15"/>
                          <w:szCs w:val="15"/>
                        </w:rPr>
                        <w:t xml:space="preserve">Kleopatra Nikolaou (Senior Financial Sector Expert), Natalia Novikova (IMF Resident Representative in Singapore), </w:t>
                      </w:r>
                      <w:r w:rsidR="002605E4" w:rsidRPr="000964FB">
                        <w:rPr>
                          <w:i/>
                          <w:iCs/>
                          <w:color w:val="004B97"/>
                          <w:sz w:val="15"/>
                          <w:szCs w:val="15"/>
                        </w:rPr>
                        <w:t>Sona</w:t>
                      </w:r>
                      <w:r w:rsidR="0086637A" w:rsidRPr="000964FB">
                        <w:rPr>
                          <w:i/>
                          <w:iCs/>
                          <w:color w:val="004B97"/>
                          <w:sz w:val="15"/>
                          <w:szCs w:val="15"/>
                        </w:rPr>
                        <w:t>l</w:t>
                      </w:r>
                      <w:r w:rsidR="002605E4" w:rsidRPr="000964FB">
                        <w:rPr>
                          <w:i/>
                          <w:iCs/>
                          <w:color w:val="004B97"/>
                          <w:sz w:val="15"/>
                          <w:szCs w:val="15"/>
                        </w:rPr>
                        <w:t xml:space="preserve"> Patel (Senior Financial Sector Expert-London Representative), </w:t>
                      </w:r>
                      <w:r w:rsidRPr="000964FB">
                        <w:rPr>
                          <w:i/>
                          <w:iCs/>
                          <w:color w:val="004B97"/>
                          <w:sz w:val="15"/>
                          <w:szCs w:val="15"/>
                        </w:rPr>
                        <w:t xml:space="preserve">Silvia Ramirez (Senior Financial Sector Expert), Ying Xu (Economist), Dmitry Yakovlev (Senior Research Officer), and Akihiko Yokoyama (Senior Financial Sector Expert). Javier Chang (Senior Administrative </w:t>
                      </w:r>
                      <w:r w:rsidR="00312713" w:rsidRPr="000964FB">
                        <w:rPr>
                          <w:i/>
                          <w:iCs/>
                          <w:color w:val="004B97"/>
                          <w:sz w:val="15"/>
                          <w:szCs w:val="15"/>
                        </w:rPr>
                        <w:t>Coordinator</w:t>
                      </w:r>
                      <w:r w:rsidRPr="000964FB">
                        <w:rPr>
                          <w:i/>
                          <w:iCs/>
                          <w:color w:val="004B97"/>
                          <w:sz w:val="15"/>
                          <w:szCs w:val="15"/>
                        </w:rPr>
                        <w:t xml:space="preserve">), </w:t>
                      </w:r>
                      <w:r w:rsidR="00312713" w:rsidRPr="000964FB">
                        <w:rPr>
                          <w:i/>
                          <w:iCs/>
                          <w:color w:val="004B97"/>
                          <w:sz w:val="15"/>
                          <w:szCs w:val="15"/>
                        </w:rPr>
                        <w:t xml:space="preserve">Lauren Kao </w:t>
                      </w:r>
                      <w:r w:rsidRPr="000964FB">
                        <w:rPr>
                          <w:i/>
                          <w:iCs/>
                          <w:color w:val="004B97"/>
                          <w:sz w:val="15"/>
                          <w:szCs w:val="15"/>
                        </w:rPr>
                        <w:t>(</w:t>
                      </w:r>
                      <w:r w:rsidR="00312713" w:rsidRPr="000964FB">
                        <w:rPr>
                          <w:i/>
                          <w:iCs/>
                          <w:color w:val="004B97"/>
                          <w:sz w:val="15"/>
                          <w:szCs w:val="15"/>
                        </w:rPr>
                        <w:t>Administrative Coordinator</w:t>
                      </w:r>
                      <w:r w:rsidRPr="000964FB">
                        <w:rPr>
                          <w:i/>
                          <w:iCs/>
                          <w:color w:val="004B97"/>
                          <w:sz w:val="15"/>
                          <w:szCs w:val="15"/>
                        </w:rPr>
                        <w:t xml:space="preserve">), and Srujana Sammeta </w:t>
                      </w:r>
                      <w:r w:rsidR="00312713" w:rsidRPr="000964FB">
                        <w:rPr>
                          <w:i/>
                          <w:iCs/>
                          <w:color w:val="004B97"/>
                          <w:sz w:val="15"/>
                          <w:szCs w:val="15"/>
                        </w:rPr>
                        <w:t>(Administrative Coordinator)</w:t>
                      </w:r>
                      <w:r w:rsidRPr="000964FB">
                        <w:rPr>
                          <w:i/>
                          <w:iCs/>
                          <w:color w:val="004B97"/>
                          <w:sz w:val="15"/>
                          <w:szCs w:val="15"/>
                        </w:rPr>
                        <w:t xml:space="preserve"> are responsible for the word processing and production of this monitor. </w:t>
                      </w:r>
                    </w:p>
                    <w:p w14:paraId="6F69ACE4" w14:textId="77777777" w:rsidR="00B5049C" w:rsidRPr="000964FB" w:rsidRDefault="00B5049C" w:rsidP="00B5049C">
                      <w:pPr>
                        <w:spacing w:before="120" w:after="0"/>
                        <w:ind w:right="65"/>
                        <w:rPr>
                          <w:color w:val="004B97"/>
                          <w:sz w:val="15"/>
                          <w:szCs w:val="15"/>
                        </w:rPr>
                      </w:pPr>
                      <w:r w:rsidRPr="000964FB">
                        <w:rPr>
                          <w:b/>
                          <w:bCs/>
                          <w:i/>
                          <w:iCs/>
                          <w:color w:val="004B97"/>
                          <w:sz w:val="15"/>
                          <w:szCs w:val="15"/>
                        </w:rPr>
                        <w:t xml:space="preserve">Disclaimer: </w:t>
                      </w:r>
                      <w:r w:rsidRPr="000964FB">
                        <w:rPr>
                          <w:i/>
                          <w:iCs/>
                          <w:color w:val="004B97"/>
                          <w:sz w:val="15"/>
                          <w:szCs w:val="15"/>
                        </w:rPr>
                        <w:t>This is an internal document produced by the Global Markets Analysis Division (GA) of the Monetary and Capital Markets Department. It reflects GA staff’s interpretation and analysis of market views and developments. Market views presented may or may not reflect a consensus of market participants. GA staff do not independently verify the accuracy of all data and events presented in this document.</w:t>
                      </w:r>
                    </w:p>
                    <w:p w14:paraId="441AA23C" w14:textId="77777777" w:rsidR="00B5049C" w:rsidRPr="00347C8A" w:rsidRDefault="00B5049C" w:rsidP="00B5049C">
                      <w:pPr>
                        <w:ind w:right="65"/>
                        <w:rPr>
                          <w:sz w:val="16"/>
                          <w:szCs w:val="16"/>
                        </w:rPr>
                      </w:pPr>
                    </w:p>
                    <w:p w14:paraId="763AE28C" w14:textId="77777777" w:rsidR="000F409B" w:rsidRPr="00347C8A" w:rsidRDefault="000F409B" w:rsidP="0058147D">
                      <w:pPr>
                        <w:ind w:right="65"/>
                        <w:rPr>
                          <w:sz w:val="16"/>
                          <w:szCs w:val="16"/>
                        </w:rPr>
                      </w:pPr>
                    </w:p>
                  </w:txbxContent>
                </v:textbox>
                <w10:wrap anchorx="margin"/>
              </v:shape>
            </w:pict>
          </mc:Fallback>
        </mc:AlternateContent>
      </w:r>
      <w:r w:rsidR="00114701">
        <w:rPr>
          <w:rFonts w:cs="Arial"/>
          <w:bCs/>
          <w:noProof/>
          <w:color w:val="000000"/>
        </w:rPr>
        <w:drawing>
          <wp:inline distT="0" distB="0" distL="0" distR="0" wp14:anchorId="5E5ED1BC" wp14:editId="6DE0BB90">
            <wp:extent cx="2695575" cy="195874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13947" cy="1972092"/>
                    </a:xfrm>
                    <a:prstGeom prst="rect">
                      <a:avLst/>
                    </a:prstGeom>
                    <a:noFill/>
                  </pic:spPr>
                </pic:pic>
              </a:graphicData>
            </a:graphic>
          </wp:inline>
        </w:drawing>
      </w:r>
    </w:p>
    <w:bookmarkStart w:id="24" w:name="tables"/>
    <w:p w14:paraId="7ED7FE33" w14:textId="178AF129" w:rsidR="00413E4A" w:rsidRPr="00847B02" w:rsidRDefault="00C81D05" w:rsidP="00847B02">
      <w:pPr>
        <w:pStyle w:val="Title3-TableWPageBreak"/>
      </w:pPr>
      <w:r w:rsidRPr="00CB3CBA">
        <w:lastRenderedPageBreak/>
        <w:fldChar w:fldCharType="begin"/>
      </w:r>
      <w:r w:rsidRPr="00CB3CBA">
        <w:instrText xml:space="preserve"> HYPERLINK  \l "tables" </w:instrText>
      </w:r>
      <w:r w:rsidRPr="00CB3CBA">
        <w:fldChar w:fldCharType="separate"/>
      </w:r>
      <w:r w:rsidR="00413E4A" w:rsidRPr="00CB3CBA">
        <w:rPr>
          <w:rStyle w:val="Hyperlink"/>
          <w:rFonts w:asciiTheme="minorHAnsi" w:hAnsiTheme="minorHAnsi" w:cstheme="minorHAnsi"/>
          <w:color w:val="004C97" w:themeColor="text2"/>
          <w:szCs w:val="26"/>
          <w:u w:val="none"/>
        </w:rPr>
        <w:t>Global Financial Indicators</w:t>
      </w:r>
      <w:r w:rsidRPr="00CB3CBA">
        <w:fldChar w:fldCharType="end"/>
      </w:r>
      <w:bookmarkEnd w:id="24"/>
    </w:p>
    <w:p w14:paraId="3F3FEF3A" w14:textId="25F6BE88" w:rsidR="00CB3CBA" w:rsidRPr="00BB28C1" w:rsidRDefault="00F90A0A" w:rsidP="00847B02">
      <w:r w:rsidRPr="00F90A0A">
        <w:rPr>
          <w:noProof/>
        </w:rPr>
        <w:drawing>
          <wp:inline distT="0" distB="0" distL="0" distR="0" wp14:anchorId="70B63532" wp14:editId="7E4F1733">
            <wp:extent cx="5943600" cy="69202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6920230"/>
                    </a:xfrm>
                    <a:prstGeom prst="rect">
                      <a:avLst/>
                    </a:prstGeom>
                    <a:noFill/>
                    <a:ln>
                      <a:noFill/>
                    </a:ln>
                  </pic:spPr>
                </pic:pic>
              </a:graphicData>
            </a:graphic>
          </wp:inline>
        </w:drawing>
      </w:r>
    </w:p>
    <w:p w14:paraId="50589A02" w14:textId="77777777" w:rsidR="00C17231" w:rsidRPr="00BB28C1" w:rsidRDefault="00C17231" w:rsidP="001F521F">
      <w:pPr>
        <w:pStyle w:val="Title3-TableWPageBreak"/>
      </w:pPr>
      <w:r w:rsidRPr="000F23B1">
        <w:lastRenderedPageBreak/>
        <w:t>Emerging Market Financial Indicators</w:t>
      </w:r>
    </w:p>
    <w:p w14:paraId="72191F4E" w14:textId="693D1FD5" w:rsidR="00C17231" w:rsidRDefault="00F90A0A" w:rsidP="00847B02">
      <w:r w:rsidRPr="00F90A0A">
        <w:rPr>
          <w:noProof/>
        </w:rPr>
        <w:drawing>
          <wp:inline distT="0" distB="0" distL="0" distR="0" wp14:anchorId="205C503C" wp14:editId="712E82B8">
            <wp:extent cx="5943600" cy="3606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2BC3C029" w14:textId="4F1F1CC3" w:rsidR="00F90A0A" w:rsidRPr="000F78A7" w:rsidRDefault="00F90A0A" w:rsidP="00847B02">
      <w:r w:rsidRPr="00F90A0A">
        <w:rPr>
          <w:noProof/>
        </w:rPr>
        <w:drawing>
          <wp:inline distT="0" distB="0" distL="0" distR="0" wp14:anchorId="4126FC6E" wp14:editId="7EDC1DB4">
            <wp:extent cx="5943600" cy="381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818255"/>
                    </a:xfrm>
                    <a:prstGeom prst="rect">
                      <a:avLst/>
                    </a:prstGeom>
                    <a:noFill/>
                    <a:ln>
                      <a:noFill/>
                    </a:ln>
                  </pic:spPr>
                </pic:pic>
              </a:graphicData>
            </a:graphic>
          </wp:inline>
        </w:drawing>
      </w:r>
    </w:p>
    <w:p w14:paraId="609C1DE1" w14:textId="3BC3D2B8" w:rsidR="00090FAA" w:rsidRDefault="00000000" w:rsidP="0090786C">
      <w:pPr>
        <w:rPr>
          <w:rStyle w:val="Back-to-Top"/>
        </w:rPr>
      </w:pPr>
      <w:hyperlink w:anchor="Top" w:history="1">
        <w:r w:rsidR="00227601" w:rsidRPr="00BB28C1">
          <w:rPr>
            <w:rStyle w:val="Back-to-Top"/>
          </w:rPr>
          <w:t>back to top</w:t>
        </w:r>
      </w:hyperlink>
      <w:bookmarkEnd w:id="8"/>
      <w:bookmarkEnd w:id="9"/>
    </w:p>
    <w:p w14:paraId="603330AE" w14:textId="720AA612" w:rsidR="00351670" w:rsidRPr="00BB28C1" w:rsidRDefault="00351670" w:rsidP="001F521F">
      <w:pPr>
        <w:pStyle w:val="CenteredJump"/>
        <w:rPr>
          <w:rStyle w:val="Back-to-Top"/>
        </w:rPr>
      </w:pPr>
    </w:p>
    <w:sectPr w:rsidR="00351670" w:rsidRPr="00BB28C1" w:rsidSect="001F521F">
      <w:headerReference w:type="default" r:id="rId25"/>
      <w:footerReference w:type="even" r:id="rId26"/>
      <w:footerReference w:type="default" r:id="rId27"/>
      <w:headerReference w:type="first" r:id="rId28"/>
      <w:footerReference w:type="first" r:id="rId29"/>
      <w:pgSz w:w="12240" w:h="15840" w:code="1"/>
      <w:pgMar w:top="1296" w:right="1440" w:bottom="1080" w:left="1440" w:header="21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2607" w14:textId="77777777" w:rsidR="00076C9C" w:rsidRDefault="00076C9C" w:rsidP="001F521F">
      <w:r>
        <w:separator/>
      </w:r>
    </w:p>
    <w:p w14:paraId="6B74C10B" w14:textId="77777777" w:rsidR="00076C9C" w:rsidRDefault="00076C9C" w:rsidP="001F521F"/>
  </w:endnote>
  <w:endnote w:type="continuationSeparator" w:id="0">
    <w:p w14:paraId="293C6F6B" w14:textId="77777777" w:rsidR="00076C9C" w:rsidRDefault="00076C9C" w:rsidP="001F521F">
      <w:r>
        <w:continuationSeparator/>
      </w:r>
    </w:p>
    <w:p w14:paraId="0E8B23BB" w14:textId="77777777" w:rsidR="00076C9C" w:rsidRDefault="00076C9C" w:rsidP="001F5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dy)">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4B4" w14:textId="77777777" w:rsidR="00D97750" w:rsidRDefault="00D97750" w:rsidP="001F521F">
    <w:pPr>
      <w:pStyle w:val="Footer"/>
    </w:pPr>
  </w:p>
  <w:p w14:paraId="3C68801E" w14:textId="77777777" w:rsidR="00492D29" w:rsidRDefault="00492D29" w:rsidP="001F52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7E46" w14:textId="77777777" w:rsidR="00492D29" w:rsidRDefault="00EA1761" w:rsidP="001F521F">
    <w:pPr>
      <w:pStyle w:val="Footer"/>
    </w:pPr>
    <w:r w:rsidRPr="001F521F">
      <w:rPr>
        <w:rStyle w:val="FooterIMF"/>
      </w:rPr>
      <w:t>IMF</w:t>
    </w:r>
    <w:r w:rsidRPr="00EA1761">
      <w:rPr>
        <w:rStyle w:val="PageNumber"/>
      </w:rPr>
      <w:t xml:space="preserve"> </w:t>
    </w:r>
    <w:r w:rsidRPr="001F521F">
      <w:t>| M</w:t>
    </w:r>
    <w:r w:rsidRPr="00EA1761">
      <w:rPr>
        <w:rStyle w:val="PageNumber"/>
      </w:rPr>
      <w:t>onetary and Cap</w:t>
    </w:r>
    <w:r w:rsidR="00723B02">
      <w:rPr>
        <w:rStyle w:val="PageNumber"/>
      </w:rPr>
      <w:t>i</w:t>
    </w:r>
    <w:r w:rsidRPr="00EA1761">
      <w:rPr>
        <w:rStyle w:val="PageNumber"/>
      </w:rPr>
      <w:t>tal Markets—Global Markets Analysis</w:t>
    </w:r>
    <w:r w:rsidR="00090FAA">
      <w:rPr>
        <w:rStyle w:val="PageNumber"/>
      </w:rPr>
      <w:tab/>
    </w:r>
    <w:r w:rsidR="00090FAA" w:rsidRPr="000F23B1">
      <w:rPr>
        <w:rStyle w:val="PageNumber"/>
      </w:rPr>
      <w:fldChar w:fldCharType="begin"/>
    </w:r>
    <w:r w:rsidR="00090FAA" w:rsidRPr="000F23B1">
      <w:rPr>
        <w:rStyle w:val="PageNumber"/>
      </w:rPr>
      <w:instrText xml:space="preserve"> PAGE </w:instrText>
    </w:r>
    <w:r w:rsidR="00090FAA" w:rsidRPr="000F23B1">
      <w:rPr>
        <w:rStyle w:val="PageNumber"/>
      </w:rPr>
      <w:fldChar w:fldCharType="separate"/>
    </w:r>
    <w:r w:rsidR="00090FAA">
      <w:rPr>
        <w:rStyle w:val="PageNumber"/>
      </w:rPr>
      <w:t>1</w:t>
    </w:r>
    <w:r w:rsidR="00090FAA" w:rsidRPr="000F23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7C62" w14:textId="77777777" w:rsidR="00492D29" w:rsidRDefault="00090FAA" w:rsidP="00847B02">
    <w:pPr>
      <w:pStyle w:val="Footer"/>
    </w:pPr>
    <w:r w:rsidRPr="00520C57">
      <w:t xml:space="preserve">Previous editions of the GMM and Special Features are available in our </w:t>
    </w:r>
    <w:hyperlink r:id="rId1" w:history="1">
      <w:r w:rsidR="00C35643">
        <w:rPr>
          <w:rStyle w:val="Hyperlink"/>
          <w:rFonts w:asciiTheme="minorHAnsi" w:hAnsiTheme="minorHAnsi" w:cstheme="minorHAnsi"/>
          <w:szCs w:val="20"/>
        </w:rPr>
        <w:t>Online Archive</w:t>
      </w:r>
    </w:hyperlink>
    <w:r w:rsidR="00C35643">
      <w:rPr>
        <w:rStyle w:val="PageNumber"/>
      </w:rPr>
      <w:t>.</w:t>
    </w:r>
    <w:r w:rsidR="00C35643">
      <w:rPr>
        <w:rStyle w:val="PageNumber"/>
      </w:rPr>
      <w:tab/>
    </w:r>
    <w:r w:rsidR="00C02E12" w:rsidRPr="000F23B1">
      <w:rPr>
        <w:rStyle w:val="PageNumber"/>
      </w:rPr>
      <w:fldChar w:fldCharType="begin"/>
    </w:r>
    <w:r w:rsidR="00665D86" w:rsidRPr="000F23B1">
      <w:rPr>
        <w:rStyle w:val="PageNumber"/>
      </w:rPr>
      <w:instrText xml:space="preserve"> PAGE </w:instrText>
    </w:r>
    <w:r w:rsidR="00C02E12" w:rsidRPr="000F23B1">
      <w:rPr>
        <w:rStyle w:val="PageNumber"/>
      </w:rPr>
      <w:fldChar w:fldCharType="separate"/>
    </w:r>
    <w:r w:rsidR="00FD4B12" w:rsidRPr="000F23B1">
      <w:rPr>
        <w:rStyle w:val="PageNumber"/>
        <w:noProof/>
      </w:rPr>
      <w:t>5</w:t>
    </w:r>
    <w:r w:rsidR="00C02E12" w:rsidRPr="000F23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28C1" w14:textId="77777777" w:rsidR="00076C9C" w:rsidRDefault="00076C9C" w:rsidP="001F521F">
      <w:r>
        <w:separator/>
      </w:r>
    </w:p>
    <w:p w14:paraId="595A6D6C" w14:textId="77777777" w:rsidR="00076C9C" w:rsidRDefault="00076C9C" w:rsidP="001F521F"/>
  </w:footnote>
  <w:footnote w:type="continuationSeparator" w:id="0">
    <w:p w14:paraId="01DD7F68" w14:textId="77777777" w:rsidR="00076C9C" w:rsidRDefault="00076C9C" w:rsidP="001F521F">
      <w:r>
        <w:continuationSeparator/>
      </w:r>
    </w:p>
    <w:p w14:paraId="296D6092" w14:textId="77777777" w:rsidR="00076C9C" w:rsidRDefault="00076C9C" w:rsidP="001F521F"/>
  </w:footnote>
  <w:footnote w:type="continuationNotice" w:id="1">
    <w:p w14:paraId="0200D6C2" w14:textId="77777777" w:rsidR="00076C9C" w:rsidRDefault="00076C9C" w:rsidP="001F521F">
      <w:r>
        <w:t>(continued)</w:t>
      </w:r>
    </w:p>
    <w:p w14:paraId="753B818D" w14:textId="77777777" w:rsidR="00076C9C" w:rsidRDefault="00076C9C" w:rsidP="001F5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Pr>
    <w:tblGrid>
      <w:gridCol w:w="5400"/>
      <w:gridCol w:w="5850"/>
    </w:tblGrid>
    <w:tr w:rsidR="000C5820" w:rsidRPr="008F76E3" w14:paraId="0ED7A23F" w14:textId="77777777" w:rsidTr="001F521F">
      <w:trPr>
        <w:jc w:val="center"/>
      </w:trPr>
      <w:tc>
        <w:tcPr>
          <w:tcW w:w="5400" w:type="dxa"/>
          <w:vAlign w:val="center"/>
        </w:tcPr>
        <w:p w14:paraId="7BB0A503" w14:textId="77777777" w:rsidR="000C5820" w:rsidRPr="00520C57" w:rsidRDefault="00BB5BB5" w:rsidP="001F521F">
          <w:pPr>
            <w:pStyle w:val="Header"/>
            <w:spacing w:before="0" w:after="0" w:line="240" w:lineRule="auto"/>
          </w:pPr>
          <w:r w:rsidRPr="00520C57">
            <w:t>GLOBAL MARKETS MONITOR</w:t>
          </w:r>
        </w:p>
      </w:tc>
      <w:tc>
        <w:tcPr>
          <w:tcW w:w="5850" w:type="dxa"/>
          <w:vAlign w:val="center"/>
        </w:tcPr>
        <w:p w14:paraId="42B758D4" w14:textId="5BBD49E0" w:rsidR="000C5820" w:rsidRPr="00B8253E" w:rsidRDefault="000C5820" w:rsidP="001F521F">
          <w:pPr>
            <w:pStyle w:val="BannerDateNon-Cover"/>
            <w:spacing w:before="0" w:after="0" w:line="240" w:lineRule="auto"/>
          </w:pPr>
          <w:r w:rsidRPr="00B8253E">
            <w:fldChar w:fldCharType="begin"/>
          </w:r>
          <w:r w:rsidRPr="00B8253E">
            <w:instrText xml:space="preserve"> DATE  \@ "MMMM d, yyyy"  \* MERGEFORMAT </w:instrText>
          </w:r>
          <w:r w:rsidRPr="00B8253E">
            <w:fldChar w:fldCharType="separate"/>
          </w:r>
          <w:r w:rsidR="000964FB">
            <w:rPr>
              <w:noProof/>
            </w:rPr>
            <w:t>April 18, 2024</w:t>
          </w:r>
          <w:r w:rsidRPr="00B8253E">
            <w:fldChar w:fldCharType="end"/>
          </w:r>
        </w:p>
      </w:tc>
    </w:tr>
  </w:tbl>
  <w:p w14:paraId="01780D94" w14:textId="77777777" w:rsidR="00492D29" w:rsidRDefault="000C5820" w:rsidP="00847B02">
    <w:pPr>
      <w:pStyle w:val="Header"/>
    </w:pPr>
    <w:r>
      <mc:AlternateContent>
        <mc:Choice Requires="wps">
          <w:drawing>
            <wp:anchor distT="0" distB="0" distL="114300" distR="114300" simplePos="0" relativeHeight="251689984" behindDoc="1" locked="0" layoutInCell="1" allowOverlap="1" wp14:anchorId="711D1451" wp14:editId="03A165D5">
              <wp:simplePos x="0" y="0"/>
              <wp:positionH relativeFrom="page">
                <wp:posOffset>0</wp:posOffset>
              </wp:positionH>
              <wp:positionV relativeFrom="page">
                <wp:posOffset>-89064</wp:posOffset>
              </wp:positionV>
              <wp:extent cx="7808976" cy="528452"/>
              <wp:effectExtent l="0" t="0" r="1905" b="508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8976" cy="528452"/>
                      </a:xfrm>
                      <a:prstGeom prst="rect">
                        <a:avLst/>
                      </a:prstGeom>
                      <a:solidFill>
                        <a:schemeClr val="tx2"/>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B8389" id="Freeform 2" o:spid="_x0000_s1026" style="position:absolute;margin-left:0;margin-top:-7pt;width:614.9pt;height:41.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" fillcolor="#004c97 [3215]"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C41" w14:textId="6A772A52" w:rsidR="00090FAA" w:rsidRPr="00121BEA" w:rsidRDefault="00312713" w:rsidP="00121BEA">
    <w:r w:rsidRPr="00121BEA">
      <w:rPr>
        <w:noProof/>
      </w:rPr>
      <mc:AlternateContent>
        <mc:Choice Requires="wps">
          <w:drawing>
            <wp:anchor distT="0" distB="0" distL="114300" distR="114300" simplePos="0" relativeHeight="251692032" behindDoc="0" locked="0" layoutInCell="1" allowOverlap="1" wp14:anchorId="161BEEC6" wp14:editId="74294CFD">
              <wp:simplePos x="0" y="0"/>
              <wp:positionH relativeFrom="column">
                <wp:posOffset>2480310</wp:posOffset>
              </wp:positionH>
              <wp:positionV relativeFrom="paragraph">
                <wp:posOffset>610235</wp:posOffset>
              </wp:positionV>
              <wp:extent cx="3886200" cy="818515"/>
              <wp:effectExtent l="0" t="0" r="0" b="635"/>
              <wp:wrapTopAndBottom/>
              <wp:docPr id="8" name="Text Box 8"/>
              <wp:cNvGraphicFramePr/>
              <a:graphic xmlns:a="http://schemas.openxmlformats.org/drawingml/2006/main">
                <a:graphicData uri="http://schemas.microsoft.com/office/word/2010/wordprocessingShape">
                  <wps:wsp>
                    <wps:cNvSpPr txBox="1"/>
                    <wps:spPr>
                      <a:xfrm>
                        <a:off x="0" y="0"/>
                        <a:ext cx="3886200" cy="818515"/>
                      </a:xfrm>
                      <a:prstGeom prst="rect">
                        <a:avLst/>
                      </a:prstGeom>
                      <a:noFill/>
                      <a:ln w="6350">
                        <a:noFill/>
                      </a:ln>
                    </wps:spPr>
                    <wps:txbx>
                      <w:txbxContent>
                        <w:p w14:paraId="4F5E928A" w14:textId="65BC755E" w:rsidR="00D6304E" w:rsidRPr="00312713" w:rsidRDefault="00D6304E" w:rsidP="00312713">
                          <w:pPr>
                            <w:pStyle w:val="BannerDate"/>
                            <w:spacing w:after="40"/>
                            <w:rPr>
                              <w:rFonts w:cstheme="minorHAnsi"/>
                              <w:sz w:val="24"/>
                              <w:szCs w:val="24"/>
                            </w:rPr>
                          </w:pPr>
                          <w:r w:rsidRPr="00312713">
                            <w:rPr>
                              <w:rFonts w:cstheme="minorHAnsi"/>
                              <w:sz w:val="24"/>
                              <w:szCs w:val="24"/>
                            </w:rPr>
                            <w:fldChar w:fldCharType="begin"/>
                          </w:r>
                          <w:r w:rsidRPr="00312713">
                            <w:rPr>
                              <w:rFonts w:cstheme="minorHAnsi"/>
                              <w:sz w:val="24"/>
                              <w:szCs w:val="24"/>
                            </w:rPr>
                            <w:instrText xml:space="preserve"> DATE  \@ "dddd, MMMM d, yyyy"  \* MERGEFORMAT </w:instrText>
                          </w:r>
                          <w:r w:rsidRPr="00312713">
                            <w:rPr>
                              <w:rFonts w:cstheme="minorHAnsi"/>
                              <w:sz w:val="24"/>
                              <w:szCs w:val="24"/>
                            </w:rPr>
                            <w:fldChar w:fldCharType="separate"/>
                          </w:r>
                          <w:r w:rsidR="000964FB">
                            <w:rPr>
                              <w:rFonts w:cstheme="minorHAnsi"/>
                              <w:sz w:val="24"/>
                              <w:szCs w:val="24"/>
                            </w:rPr>
                            <w:t>Thursday, April 18, 2024</w:t>
                          </w:r>
                          <w:r w:rsidRPr="00312713">
                            <w:rPr>
                              <w:rFonts w:cstheme="minorHAnsi"/>
                              <w:sz w:val="24"/>
                              <w:szCs w:val="24"/>
                            </w:rPr>
                            <w:fldChar w:fldCharType="end"/>
                          </w:r>
                        </w:p>
                        <w:p w14:paraId="6CAAAE48" w14:textId="04C0686C" w:rsidR="00312713" w:rsidRPr="00312713" w:rsidRDefault="00312713" w:rsidP="00312713">
                          <w:pPr>
                            <w:pStyle w:val="BannerDate"/>
                            <w:spacing w:after="40"/>
                            <w:rPr>
                              <w:rFonts w:cstheme="minorHAnsi"/>
                              <w:sz w:val="24"/>
                              <w:szCs w:val="24"/>
                            </w:rPr>
                          </w:pPr>
                          <w:r w:rsidRPr="00312713">
                            <w:rPr>
                              <w:rFonts w:cstheme="minorHAnsi"/>
                              <w:sz w:val="24"/>
                              <w:szCs w:val="24"/>
                            </w:rPr>
                            <w:t xml:space="preserve">Lead Editor: </w:t>
                          </w:r>
                          <w:r w:rsidR="00011D9F">
                            <w:rPr>
                              <w:rFonts w:cstheme="minorHAnsi"/>
                              <w:sz w:val="24"/>
                              <w:szCs w:val="24"/>
                            </w:rPr>
                            <w:t>benjamin mosk</w:t>
                          </w:r>
                        </w:p>
                        <w:p w14:paraId="6F9992E2" w14:textId="77777777" w:rsidR="00312713" w:rsidRPr="00D6304E" w:rsidRDefault="00312713" w:rsidP="001F521F">
                          <w:pPr>
                            <w:pStyle w:val="BannerDa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BEEC6" id="_x0000_t202" coordsize="21600,21600" o:spt="202" path="m,l,21600r21600,l21600,xe">
              <v:stroke joinstyle="miter"/>
              <v:path gradientshapeok="t" o:connecttype="rect"/>
            </v:shapetype>
            <v:shape id="Text Box 8" o:spid="_x0000_s1027" type="#_x0000_t202" style="position:absolute;left:0;text-align:left;margin-left:195.3pt;margin-top:48.05pt;width:306pt;height:64.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" filled="f" stroked="f" strokeweight=".5pt">
              <v:textbox>
                <w:txbxContent>
                  <w:p w14:paraId="4F5E928A" w14:textId="65BC755E" w:rsidR="00D6304E" w:rsidRPr="00312713" w:rsidRDefault="00D6304E" w:rsidP="00312713">
                    <w:pPr>
                      <w:pStyle w:val="BannerDate"/>
                      <w:spacing w:after="40"/>
                      <w:rPr>
                        <w:rFonts w:cstheme="minorHAnsi"/>
                        <w:sz w:val="24"/>
                        <w:szCs w:val="24"/>
                      </w:rPr>
                    </w:pPr>
                    <w:r w:rsidRPr="00312713">
                      <w:rPr>
                        <w:rFonts w:cstheme="minorHAnsi"/>
                        <w:sz w:val="24"/>
                        <w:szCs w:val="24"/>
                      </w:rPr>
                      <w:fldChar w:fldCharType="begin"/>
                    </w:r>
                    <w:r w:rsidRPr="00312713">
                      <w:rPr>
                        <w:rFonts w:cstheme="minorHAnsi"/>
                        <w:sz w:val="24"/>
                        <w:szCs w:val="24"/>
                      </w:rPr>
                      <w:instrText xml:space="preserve"> DATE  \@ "dddd, MMMM d, yyyy"  \* MERGEFORMAT </w:instrText>
                    </w:r>
                    <w:r w:rsidRPr="00312713">
                      <w:rPr>
                        <w:rFonts w:cstheme="minorHAnsi"/>
                        <w:sz w:val="24"/>
                        <w:szCs w:val="24"/>
                      </w:rPr>
                      <w:fldChar w:fldCharType="separate"/>
                    </w:r>
                    <w:r w:rsidR="000964FB">
                      <w:rPr>
                        <w:rFonts w:cstheme="minorHAnsi"/>
                        <w:sz w:val="24"/>
                        <w:szCs w:val="24"/>
                      </w:rPr>
                      <w:t>Thursday, April 18, 2024</w:t>
                    </w:r>
                    <w:r w:rsidRPr="00312713">
                      <w:rPr>
                        <w:rFonts w:cstheme="minorHAnsi"/>
                        <w:sz w:val="24"/>
                        <w:szCs w:val="24"/>
                      </w:rPr>
                      <w:fldChar w:fldCharType="end"/>
                    </w:r>
                  </w:p>
                  <w:p w14:paraId="6CAAAE48" w14:textId="04C0686C" w:rsidR="00312713" w:rsidRPr="00312713" w:rsidRDefault="00312713" w:rsidP="00312713">
                    <w:pPr>
                      <w:pStyle w:val="BannerDate"/>
                      <w:spacing w:after="40"/>
                      <w:rPr>
                        <w:rFonts w:cstheme="minorHAnsi"/>
                        <w:sz w:val="24"/>
                        <w:szCs w:val="24"/>
                      </w:rPr>
                    </w:pPr>
                    <w:r w:rsidRPr="00312713">
                      <w:rPr>
                        <w:rFonts w:cstheme="minorHAnsi"/>
                        <w:sz w:val="24"/>
                        <w:szCs w:val="24"/>
                      </w:rPr>
                      <w:t xml:space="preserve">Lead Editor: </w:t>
                    </w:r>
                    <w:r w:rsidR="00011D9F">
                      <w:rPr>
                        <w:rFonts w:cstheme="minorHAnsi"/>
                        <w:sz w:val="24"/>
                        <w:szCs w:val="24"/>
                      </w:rPr>
                      <w:t>benjamin mosk</w:t>
                    </w:r>
                  </w:p>
                  <w:p w14:paraId="6F9992E2" w14:textId="77777777" w:rsidR="00312713" w:rsidRPr="00D6304E" w:rsidRDefault="00312713" w:rsidP="001F521F">
                    <w:pPr>
                      <w:pStyle w:val="BannerDate"/>
                    </w:pPr>
                  </w:p>
                </w:txbxContent>
              </v:textbox>
              <w10:wrap type="topAndBottom"/>
            </v:shape>
          </w:pict>
        </mc:Fallback>
      </mc:AlternateContent>
    </w:r>
    <w:r w:rsidR="00A23BC2" w:rsidRPr="00121BEA">
      <w:rPr>
        <w:noProof/>
      </w:rPr>
      <w:drawing>
        <wp:anchor distT="0" distB="0" distL="114300" distR="114300" simplePos="0" relativeHeight="251691008" behindDoc="1" locked="0" layoutInCell="1" allowOverlap="1" wp14:anchorId="61CC6056" wp14:editId="36E9CA2C">
          <wp:simplePos x="0" y="0"/>
          <wp:positionH relativeFrom="page">
            <wp:posOffset>0</wp:posOffset>
          </wp:positionH>
          <wp:positionV relativeFrom="page">
            <wp:posOffset>0</wp:posOffset>
          </wp:positionV>
          <wp:extent cx="7774928"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balMarketsMonitor_Header.png"/>
                  <pic:cNvPicPr/>
                </pic:nvPicPr>
                <pic:blipFill>
                  <a:blip r:embed="rId1">
                    <a:extLst>
                      <a:ext uri="{28A0092B-C50C-407E-A947-70E740481C1C}">
                        <a14:useLocalDpi xmlns:a14="http://schemas.microsoft.com/office/drawing/2010/main" val="0"/>
                      </a:ext>
                    </a:extLst>
                  </a:blip>
                  <a:stretch>
                    <a:fillRect/>
                  </a:stretch>
                </pic:blipFill>
                <pic:spPr>
                  <a:xfrm>
                    <a:off x="0" y="0"/>
                    <a:ext cx="7774928"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F9E495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B72F90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695C684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976226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B90612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786185C"/>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08CC34E4"/>
    <w:multiLevelType w:val="hybridMultilevel"/>
    <w:tmpl w:val="EE5E1118"/>
    <w:lvl w:ilvl="0" w:tplc="46245C92">
      <w:start w:val="1"/>
      <w:numFmt w:val="bullet"/>
      <w:pStyle w:val="ListParagraph"/>
      <w:lvlText w:val="•"/>
      <w:lvlJc w:val="left"/>
      <w:pPr>
        <w:ind w:left="360" w:hanging="360"/>
      </w:pPr>
      <w:rPr>
        <w:rFonts w:ascii="Arial (Body)" w:hAnsi="Arial (Body)" w:hint="default"/>
        <w:color w:val="009CDE"/>
        <w:position w:val="-4"/>
        <w:sz w:val="32"/>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3B245B"/>
    <w:multiLevelType w:val="multilevel"/>
    <w:tmpl w:val="F13050AC"/>
    <w:lvl w:ilvl="0">
      <w:start w:val="1"/>
      <w:numFmt w:val="bullet"/>
      <w:lvlText w:val=""/>
      <w:lvlJc w:val="left"/>
      <w:pPr>
        <w:ind w:left="360" w:hanging="360"/>
      </w:pPr>
      <w:rPr>
        <w:rFonts w:ascii="Wingdings" w:hAnsi="Wingdings" w:hint="default"/>
        <w:color w:val="009CDE"/>
        <w:position w:val="1"/>
        <w:sz w:val="16"/>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508C42FD"/>
    <w:multiLevelType w:val="multilevel"/>
    <w:tmpl w:val="812275E2"/>
    <w:lvl w:ilvl="0">
      <w:start w:val="1"/>
      <w:numFmt w:val="bullet"/>
      <w:lvlText w:val="•"/>
      <w:lvlJc w:val="left"/>
      <w:pPr>
        <w:ind w:left="216" w:hanging="216"/>
      </w:pPr>
      <w:rPr>
        <w:rFonts w:ascii="Arial (Body)" w:hAnsi="Arial (Body)" w:hint="default"/>
        <w:color w:val="009CDE" w:themeColor="accent1"/>
        <w:position w:val="-4"/>
        <w:sz w:val="32"/>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26694248">
    <w:abstractNumId w:val="4"/>
  </w:num>
  <w:num w:numId="2" w16cid:durableId="269901449">
    <w:abstractNumId w:val="5"/>
  </w:num>
  <w:num w:numId="3" w16cid:durableId="525096272">
    <w:abstractNumId w:val="3"/>
  </w:num>
  <w:num w:numId="4" w16cid:durableId="1984112456">
    <w:abstractNumId w:val="2"/>
  </w:num>
  <w:num w:numId="5" w16cid:durableId="911279454">
    <w:abstractNumId w:val="1"/>
  </w:num>
  <w:num w:numId="6" w16cid:durableId="1699161799">
    <w:abstractNumId w:val="0"/>
  </w:num>
  <w:num w:numId="7" w16cid:durableId="971906410">
    <w:abstractNumId w:val="7"/>
  </w:num>
  <w:num w:numId="8" w16cid:durableId="2136291283">
    <w:abstractNumId w:val="6"/>
  </w:num>
  <w:num w:numId="9" w16cid:durableId="287323987">
    <w:abstractNumId w:val="8"/>
  </w:num>
  <w:num w:numId="10" w16cid:durableId="594287842">
    <w:abstractNumId w:val="9"/>
  </w:num>
  <w:num w:numId="11" w16cid:durableId="18633994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noPunctuationKerning/>
  <w:characterSpacingControl w:val="doNotCompress"/>
  <w:hdrShapeDefaults>
    <o:shapedefaults v:ext="edit" spidmax="2050" style="mso-position-horizontal-relative:page;mso-position-vertical-relative:margin" fillcolor="none [1606]" stroke="f">
      <v:fill color="none [1606]" opacity="0" color2="none [2374]" rotate="t" focusposition=".5,.5" focussize="" focus="100%" type="gradientRadial"/>
      <v:stroke color2="#fffffe [rgb(255,255,254) ink(7,255)]" weight="0" on="f">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on="t" type="perspective" color="none [1606]" offset="1pt" offset2="-3pt"/>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10"/>
    <w:rsid w:val="0000130A"/>
    <w:rsid w:val="00006537"/>
    <w:rsid w:val="00006B6C"/>
    <w:rsid w:val="000114E9"/>
    <w:rsid w:val="00011BD2"/>
    <w:rsid w:val="00011D9F"/>
    <w:rsid w:val="00012E1A"/>
    <w:rsid w:val="000217A5"/>
    <w:rsid w:val="00030601"/>
    <w:rsid w:val="00030C45"/>
    <w:rsid w:val="00032197"/>
    <w:rsid w:val="00034917"/>
    <w:rsid w:val="00037AB9"/>
    <w:rsid w:val="00040D64"/>
    <w:rsid w:val="000422AE"/>
    <w:rsid w:val="00043931"/>
    <w:rsid w:val="00047A8E"/>
    <w:rsid w:val="0005174D"/>
    <w:rsid w:val="00052352"/>
    <w:rsid w:val="000525F3"/>
    <w:rsid w:val="00053733"/>
    <w:rsid w:val="00053EAB"/>
    <w:rsid w:val="0005684A"/>
    <w:rsid w:val="0006211B"/>
    <w:rsid w:val="0006362E"/>
    <w:rsid w:val="00066B23"/>
    <w:rsid w:val="0006732B"/>
    <w:rsid w:val="00067B8C"/>
    <w:rsid w:val="00070886"/>
    <w:rsid w:val="000730EE"/>
    <w:rsid w:val="00073CF2"/>
    <w:rsid w:val="00076C9C"/>
    <w:rsid w:val="000807BC"/>
    <w:rsid w:val="00084B13"/>
    <w:rsid w:val="0008526B"/>
    <w:rsid w:val="00086018"/>
    <w:rsid w:val="00087E1A"/>
    <w:rsid w:val="00090FAA"/>
    <w:rsid w:val="000912A9"/>
    <w:rsid w:val="000926EA"/>
    <w:rsid w:val="000964FB"/>
    <w:rsid w:val="000968B8"/>
    <w:rsid w:val="000A2331"/>
    <w:rsid w:val="000A4E5D"/>
    <w:rsid w:val="000A7E0C"/>
    <w:rsid w:val="000B0C74"/>
    <w:rsid w:val="000B2F25"/>
    <w:rsid w:val="000B497E"/>
    <w:rsid w:val="000C0842"/>
    <w:rsid w:val="000C0E90"/>
    <w:rsid w:val="000C50B0"/>
    <w:rsid w:val="000C5820"/>
    <w:rsid w:val="000C7FED"/>
    <w:rsid w:val="000D059D"/>
    <w:rsid w:val="000D28AD"/>
    <w:rsid w:val="000D774C"/>
    <w:rsid w:val="000E0241"/>
    <w:rsid w:val="000E0B3E"/>
    <w:rsid w:val="000E4648"/>
    <w:rsid w:val="000E76A4"/>
    <w:rsid w:val="000F23B1"/>
    <w:rsid w:val="000F2BE3"/>
    <w:rsid w:val="000F2CB0"/>
    <w:rsid w:val="000F409B"/>
    <w:rsid w:val="000F40FF"/>
    <w:rsid w:val="000F507D"/>
    <w:rsid w:val="000F6933"/>
    <w:rsid w:val="000F6E7D"/>
    <w:rsid w:val="000F6EC4"/>
    <w:rsid w:val="000F78A7"/>
    <w:rsid w:val="00102377"/>
    <w:rsid w:val="00102438"/>
    <w:rsid w:val="00107924"/>
    <w:rsid w:val="00107E80"/>
    <w:rsid w:val="00110176"/>
    <w:rsid w:val="00110545"/>
    <w:rsid w:val="00114701"/>
    <w:rsid w:val="001175FB"/>
    <w:rsid w:val="00121BEA"/>
    <w:rsid w:val="00121C7B"/>
    <w:rsid w:val="0012222E"/>
    <w:rsid w:val="00122905"/>
    <w:rsid w:val="00123175"/>
    <w:rsid w:val="00124D5E"/>
    <w:rsid w:val="00127DE2"/>
    <w:rsid w:val="00133063"/>
    <w:rsid w:val="00137AD1"/>
    <w:rsid w:val="001420E0"/>
    <w:rsid w:val="00142C4A"/>
    <w:rsid w:val="00151A90"/>
    <w:rsid w:val="0015268B"/>
    <w:rsid w:val="00152D21"/>
    <w:rsid w:val="00154278"/>
    <w:rsid w:val="00154F8C"/>
    <w:rsid w:val="00156F5E"/>
    <w:rsid w:val="001608E8"/>
    <w:rsid w:val="00164F86"/>
    <w:rsid w:val="00166382"/>
    <w:rsid w:val="00166945"/>
    <w:rsid w:val="00167EE0"/>
    <w:rsid w:val="001762DA"/>
    <w:rsid w:val="00176978"/>
    <w:rsid w:val="001777FF"/>
    <w:rsid w:val="00184148"/>
    <w:rsid w:val="001903B2"/>
    <w:rsid w:val="00197F92"/>
    <w:rsid w:val="001A4654"/>
    <w:rsid w:val="001A5087"/>
    <w:rsid w:val="001B2E76"/>
    <w:rsid w:val="001B41F6"/>
    <w:rsid w:val="001B4B0C"/>
    <w:rsid w:val="001B6E54"/>
    <w:rsid w:val="001C2A4F"/>
    <w:rsid w:val="001C41DA"/>
    <w:rsid w:val="001C513B"/>
    <w:rsid w:val="001C641C"/>
    <w:rsid w:val="001D11B6"/>
    <w:rsid w:val="001D284B"/>
    <w:rsid w:val="001D3197"/>
    <w:rsid w:val="001D6292"/>
    <w:rsid w:val="001E04DD"/>
    <w:rsid w:val="001E2E85"/>
    <w:rsid w:val="001E39D2"/>
    <w:rsid w:val="001E469A"/>
    <w:rsid w:val="001E4895"/>
    <w:rsid w:val="001E5D39"/>
    <w:rsid w:val="001E7759"/>
    <w:rsid w:val="001E778F"/>
    <w:rsid w:val="001E781A"/>
    <w:rsid w:val="001E7986"/>
    <w:rsid w:val="001F0ABD"/>
    <w:rsid w:val="001F521F"/>
    <w:rsid w:val="001F5244"/>
    <w:rsid w:val="00200200"/>
    <w:rsid w:val="002024D9"/>
    <w:rsid w:val="00203316"/>
    <w:rsid w:val="00203BF6"/>
    <w:rsid w:val="00205047"/>
    <w:rsid w:val="00206864"/>
    <w:rsid w:val="00213962"/>
    <w:rsid w:val="00214282"/>
    <w:rsid w:val="00216AF8"/>
    <w:rsid w:val="002221C9"/>
    <w:rsid w:val="00225A94"/>
    <w:rsid w:val="00227601"/>
    <w:rsid w:val="002279AB"/>
    <w:rsid w:val="00235BEF"/>
    <w:rsid w:val="002373F1"/>
    <w:rsid w:val="00237E21"/>
    <w:rsid w:val="00245EF4"/>
    <w:rsid w:val="00246060"/>
    <w:rsid w:val="002462B0"/>
    <w:rsid w:val="00246728"/>
    <w:rsid w:val="0024726F"/>
    <w:rsid w:val="0025359B"/>
    <w:rsid w:val="00257BE1"/>
    <w:rsid w:val="002605E4"/>
    <w:rsid w:val="00263C21"/>
    <w:rsid w:val="00265906"/>
    <w:rsid w:val="0026756D"/>
    <w:rsid w:val="0026790C"/>
    <w:rsid w:val="00275374"/>
    <w:rsid w:val="002871FC"/>
    <w:rsid w:val="0028750B"/>
    <w:rsid w:val="0029328B"/>
    <w:rsid w:val="002A0AF2"/>
    <w:rsid w:val="002A1587"/>
    <w:rsid w:val="002A3C2C"/>
    <w:rsid w:val="002A61E0"/>
    <w:rsid w:val="002A7695"/>
    <w:rsid w:val="002B34FA"/>
    <w:rsid w:val="002C04A9"/>
    <w:rsid w:val="002C15F5"/>
    <w:rsid w:val="002C4A51"/>
    <w:rsid w:val="002D0C95"/>
    <w:rsid w:val="002D5552"/>
    <w:rsid w:val="002D67E6"/>
    <w:rsid w:val="002E0D6C"/>
    <w:rsid w:val="002E350D"/>
    <w:rsid w:val="002E3EF6"/>
    <w:rsid w:val="002E555C"/>
    <w:rsid w:val="002F6628"/>
    <w:rsid w:val="002F66CD"/>
    <w:rsid w:val="002F7371"/>
    <w:rsid w:val="00300DF2"/>
    <w:rsid w:val="0030231B"/>
    <w:rsid w:val="003050E8"/>
    <w:rsid w:val="003065A8"/>
    <w:rsid w:val="00307739"/>
    <w:rsid w:val="00307E0D"/>
    <w:rsid w:val="00311156"/>
    <w:rsid w:val="00311FF7"/>
    <w:rsid w:val="00312128"/>
    <w:rsid w:val="00312713"/>
    <w:rsid w:val="00316F3E"/>
    <w:rsid w:val="003174E8"/>
    <w:rsid w:val="00322C4D"/>
    <w:rsid w:val="0032317A"/>
    <w:rsid w:val="00327493"/>
    <w:rsid w:val="0033182C"/>
    <w:rsid w:val="0033209E"/>
    <w:rsid w:val="00332196"/>
    <w:rsid w:val="00334A3C"/>
    <w:rsid w:val="00341439"/>
    <w:rsid w:val="0034440A"/>
    <w:rsid w:val="00347F21"/>
    <w:rsid w:val="00351670"/>
    <w:rsid w:val="00362DBA"/>
    <w:rsid w:val="003647D8"/>
    <w:rsid w:val="00367A8E"/>
    <w:rsid w:val="0037124D"/>
    <w:rsid w:val="00371889"/>
    <w:rsid w:val="00372007"/>
    <w:rsid w:val="00376B52"/>
    <w:rsid w:val="00377721"/>
    <w:rsid w:val="0038082B"/>
    <w:rsid w:val="00381206"/>
    <w:rsid w:val="00381415"/>
    <w:rsid w:val="0038189E"/>
    <w:rsid w:val="00383748"/>
    <w:rsid w:val="003842E3"/>
    <w:rsid w:val="0038556A"/>
    <w:rsid w:val="00385A25"/>
    <w:rsid w:val="0038695A"/>
    <w:rsid w:val="0038706B"/>
    <w:rsid w:val="00387CFA"/>
    <w:rsid w:val="00392407"/>
    <w:rsid w:val="003A1292"/>
    <w:rsid w:val="003B18F0"/>
    <w:rsid w:val="003B3460"/>
    <w:rsid w:val="003B4FE3"/>
    <w:rsid w:val="003B67DD"/>
    <w:rsid w:val="003B6C43"/>
    <w:rsid w:val="003B76D1"/>
    <w:rsid w:val="003C02B9"/>
    <w:rsid w:val="003C25F0"/>
    <w:rsid w:val="003C6BB9"/>
    <w:rsid w:val="003D013B"/>
    <w:rsid w:val="003D03CE"/>
    <w:rsid w:val="003D2C80"/>
    <w:rsid w:val="003D3FB7"/>
    <w:rsid w:val="003D4042"/>
    <w:rsid w:val="003E166B"/>
    <w:rsid w:val="003E21D5"/>
    <w:rsid w:val="003E22BA"/>
    <w:rsid w:val="003E3F0D"/>
    <w:rsid w:val="003E5AC1"/>
    <w:rsid w:val="003E6803"/>
    <w:rsid w:val="003E6E2C"/>
    <w:rsid w:val="003E7BE2"/>
    <w:rsid w:val="003F62BA"/>
    <w:rsid w:val="003F6816"/>
    <w:rsid w:val="003F7749"/>
    <w:rsid w:val="003F794A"/>
    <w:rsid w:val="003F7B9E"/>
    <w:rsid w:val="00400F0A"/>
    <w:rsid w:val="00401A75"/>
    <w:rsid w:val="00401AD3"/>
    <w:rsid w:val="004042D5"/>
    <w:rsid w:val="00406C2A"/>
    <w:rsid w:val="00407A57"/>
    <w:rsid w:val="004123CE"/>
    <w:rsid w:val="004127F7"/>
    <w:rsid w:val="00412ED2"/>
    <w:rsid w:val="00412EE5"/>
    <w:rsid w:val="00413E4A"/>
    <w:rsid w:val="00431165"/>
    <w:rsid w:val="004340F5"/>
    <w:rsid w:val="004379E2"/>
    <w:rsid w:val="00440BA1"/>
    <w:rsid w:val="00442C63"/>
    <w:rsid w:val="0044307D"/>
    <w:rsid w:val="00443CD0"/>
    <w:rsid w:val="00444935"/>
    <w:rsid w:val="00452740"/>
    <w:rsid w:val="00455237"/>
    <w:rsid w:val="0045568E"/>
    <w:rsid w:val="004574C9"/>
    <w:rsid w:val="004602AB"/>
    <w:rsid w:val="004608DC"/>
    <w:rsid w:val="00461EAB"/>
    <w:rsid w:val="00463910"/>
    <w:rsid w:val="004639B7"/>
    <w:rsid w:val="00467C82"/>
    <w:rsid w:val="00470B3D"/>
    <w:rsid w:val="00473189"/>
    <w:rsid w:val="00480588"/>
    <w:rsid w:val="00482EA7"/>
    <w:rsid w:val="00483F23"/>
    <w:rsid w:val="004845A6"/>
    <w:rsid w:val="004872AE"/>
    <w:rsid w:val="00491167"/>
    <w:rsid w:val="00491DAA"/>
    <w:rsid w:val="004922FC"/>
    <w:rsid w:val="00492BC3"/>
    <w:rsid w:val="00492D29"/>
    <w:rsid w:val="004A0AE2"/>
    <w:rsid w:val="004A185A"/>
    <w:rsid w:val="004A47E9"/>
    <w:rsid w:val="004A4A1E"/>
    <w:rsid w:val="004A715A"/>
    <w:rsid w:val="004B2C14"/>
    <w:rsid w:val="004C1935"/>
    <w:rsid w:val="004C51B6"/>
    <w:rsid w:val="004C5B20"/>
    <w:rsid w:val="004C5E88"/>
    <w:rsid w:val="004D2D16"/>
    <w:rsid w:val="004D3959"/>
    <w:rsid w:val="004D6B04"/>
    <w:rsid w:val="004E0FB1"/>
    <w:rsid w:val="004E3F19"/>
    <w:rsid w:val="004E414E"/>
    <w:rsid w:val="004F452C"/>
    <w:rsid w:val="004F527B"/>
    <w:rsid w:val="004F71BF"/>
    <w:rsid w:val="005006F5"/>
    <w:rsid w:val="00500A21"/>
    <w:rsid w:val="00501796"/>
    <w:rsid w:val="00501C69"/>
    <w:rsid w:val="00507355"/>
    <w:rsid w:val="00513FCA"/>
    <w:rsid w:val="0051452B"/>
    <w:rsid w:val="00515CCC"/>
    <w:rsid w:val="0051761D"/>
    <w:rsid w:val="0052005E"/>
    <w:rsid w:val="00520B03"/>
    <w:rsid w:val="00520C57"/>
    <w:rsid w:val="00522B47"/>
    <w:rsid w:val="00526634"/>
    <w:rsid w:val="00526C8B"/>
    <w:rsid w:val="005301E7"/>
    <w:rsid w:val="005302C4"/>
    <w:rsid w:val="00531358"/>
    <w:rsid w:val="005340A4"/>
    <w:rsid w:val="005342D2"/>
    <w:rsid w:val="005366DC"/>
    <w:rsid w:val="00536824"/>
    <w:rsid w:val="00537093"/>
    <w:rsid w:val="0053727E"/>
    <w:rsid w:val="00540192"/>
    <w:rsid w:val="00541726"/>
    <w:rsid w:val="00544142"/>
    <w:rsid w:val="005446EA"/>
    <w:rsid w:val="00547CDC"/>
    <w:rsid w:val="00552E77"/>
    <w:rsid w:val="00557C5B"/>
    <w:rsid w:val="00563DE8"/>
    <w:rsid w:val="005647C1"/>
    <w:rsid w:val="00564F5F"/>
    <w:rsid w:val="00567FCA"/>
    <w:rsid w:val="0057295F"/>
    <w:rsid w:val="0057419D"/>
    <w:rsid w:val="00576B0F"/>
    <w:rsid w:val="0058147D"/>
    <w:rsid w:val="00591262"/>
    <w:rsid w:val="005924BB"/>
    <w:rsid w:val="00594BED"/>
    <w:rsid w:val="005A140D"/>
    <w:rsid w:val="005A33E8"/>
    <w:rsid w:val="005A589D"/>
    <w:rsid w:val="005B54EC"/>
    <w:rsid w:val="005B5C72"/>
    <w:rsid w:val="005B700D"/>
    <w:rsid w:val="005C094D"/>
    <w:rsid w:val="005C1F58"/>
    <w:rsid w:val="005C323B"/>
    <w:rsid w:val="005C51D6"/>
    <w:rsid w:val="005C5B16"/>
    <w:rsid w:val="005C65C7"/>
    <w:rsid w:val="005C708C"/>
    <w:rsid w:val="005C7ED3"/>
    <w:rsid w:val="005D4102"/>
    <w:rsid w:val="005D4C04"/>
    <w:rsid w:val="005E2AFD"/>
    <w:rsid w:val="005E43E2"/>
    <w:rsid w:val="005F60AB"/>
    <w:rsid w:val="005F71CA"/>
    <w:rsid w:val="006018AC"/>
    <w:rsid w:val="00601E1E"/>
    <w:rsid w:val="00604030"/>
    <w:rsid w:val="006079E8"/>
    <w:rsid w:val="00610463"/>
    <w:rsid w:val="00615129"/>
    <w:rsid w:val="006169DC"/>
    <w:rsid w:val="006176C4"/>
    <w:rsid w:val="00620F01"/>
    <w:rsid w:val="0062293D"/>
    <w:rsid w:val="00622F93"/>
    <w:rsid w:val="0062358B"/>
    <w:rsid w:val="00625267"/>
    <w:rsid w:val="0062537F"/>
    <w:rsid w:val="006307DE"/>
    <w:rsid w:val="00634A61"/>
    <w:rsid w:val="006448F0"/>
    <w:rsid w:val="00647B6E"/>
    <w:rsid w:val="00655BBE"/>
    <w:rsid w:val="00657940"/>
    <w:rsid w:val="0066074A"/>
    <w:rsid w:val="0066301D"/>
    <w:rsid w:val="0066323E"/>
    <w:rsid w:val="006634E3"/>
    <w:rsid w:val="00664862"/>
    <w:rsid w:val="00665D86"/>
    <w:rsid w:val="00665F31"/>
    <w:rsid w:val="00666CEE"/>
    <w:rsid w:val="006702B7"/>
    <w:rsid w:val="006721C6"/>
    <w:rsid w:val="006752DE"/>
    <w:rsid w:val="0067586C"/>
    <w:rsid w:val="006762C9"/>
    <w:rsid w:val="0067630D"/>
    <w:rsid w:val="006803A2"/>
    <w:rsid w:val="00686026"/>
    <w:rsid w:val="00686412"/>
    <w:rsid w:val="00686987"/>
    <w:rsid w:val="0068699E"/>
    <w:rsid w:val="00686FCA"/>
    <w:rsid w:val="00691FAE"/>
    <w:rsid w:val="006922BB"/>
    <w:rsid w:val="00693B7D"/>
    <w:rsid w:val="00694D90"/>
    <w:rsid w:val="006A3263"/>
    <w:rsid w:val="006A44D2"/>
    <w:rsid w:val="006A6138"/>
    <w:rsid w:val="006B39D3"/>
    <w:rsid w:val="006B3D48"/>
    <w:rsid w:val="006B4643"/>
    <w:rsid w:val="006B5134"/>
    <w:rsid w:val="006B5FC5"/>
    <w:rsid w:val="006B7E88"/>
    <w:rsid w:val="006D117A"/>
    <w:rsid w:val="006D189D"/>
    <w:rsid w:val="006D20A0"/>
    <w:rsid w:val="006D2BCA"/>
    <w:rsid w:val="006D7A8E"/>
    <w:rsid w:val="006E112B"/>
    <w:rsid w:val="006E1E36"/>
    <w:rsid w:val="006E2C34"/>
    <w:rsid w:val="006E2DF5"/>
    <w:rsid w:val="006E56AC"/>
    <w:rsid w:val="006E59AF"/>
    <w:rsid w:val="006E5D59"/>
    <w:rsid w:val="006F0758"/>
    <w:rsid w:val="006F67D5"/>
    <w:rsid w:val="00703112"/>
    <w:rsid w:val="00704CF5"/>
    <w:rsid w:val="00705B7E"/>
    <w:rsid w:val="00705EC1"/>
    <w:rsid w:val="00710817"/>
    <w:rsid w:val="00712AF6"/>
    <w:rsid w:val="007141E9"/>
    <w:rsid w:val="00715CF8"/>
    <w:rsid w:val="0072061D"/>
    <w:rsid w:val="00723977"/>
    <w:rsid w:val="00723B02"/>
    <w:rsid w:val="00724041"/>
    <w:rsid w:val="007274EA"/>
    <w:rsid w:val="0073156C"/>
    <w:rsid w:val="00733DD2"/>
    <w:rsid w:val="007376A5"/>
    <w:rsid w:val="00737A8B"/>
    <w:rsid w:val="00741C41"/>
    <w:rsid w:val="007458ED"/>
    <w:rsid w:val="00747735"/>
    <w:rsid w:val="00752413"/>
    <w:rsid w:val="007534A5"/>
    <w:rsid w:val="00755BA7"/>
    <w:rsid w:val="007602EC"/>
    <w:rsid w:val="00761C04"/>
    <w:rsid w:val="00761E1D"/>
    <w:rsid w:val="00762273"/>
    <w:rsid w:val="0076439B"/>
    <w:rsid w:val="0077001E"/>
    <w:rsid w:val="00773384"/>
    <w:rsid w:val="007817BF"/>
    <w:rsid w:val="00783C0F"/>
    <w:rsid w:val="00786C95"/>
    <w:rsid w:val="00791184"/>
    <w:rsid w:val="00791B03"/>
    <w:rsid w:val="00791EC4"/>
    <w:rsid w:val="00793705"/>
    <w:rsid w:val="00793888"/>
    <w:rsid w:val="007A0D91"/>
    <w:rsid w:val="007A1B54"/>
    <w:rsid w:val="007A1BAA"/>
    <w:rsid w:val="007A3F95"/>
    <w:rsid w:val="007B0C50"/>
    <w:rsid w:val="007B1389"/>
    <w:rsid w:val="007B3085"/>
    <w:rsid w:val="007B54DA"/>
    <w:rsid w:val="007B728A"/>
    <w:rsid w:val="007D17D3"/>
    <w:rsid w:val="007D5F17"/>
    <w:rsid w:val="007D6B5A"/>
    <w:rsid w:val="007E0A22"/>
    <w:rsid w:val="007E74D2"/>
    <w:rsid w:val="007F1E5E"/>
    <w:rsid w:val="007F44C6"/>
    <w:rsid w:val="007F5131"/>
    <w:rsid w:val="007F596B"/>
    <w:rsid w:val="007F6C4E"/>
    <w:rsid w:val="007F7802"/>
    <w:rsid w:val="0080188A"/>
    <w:rsid w:val="00801BE9"/>
    <w:rsid w:val="00801D78"/>
    <w:rsid w:val="00801DA0"/>
    <w:rsid w:val="008043F7"/>
    <w:rsid w:val="00804836"/>
    <w:rsid w:val="0080483A"/>
    <w:rsid w:val="00805E28"/>
    <w:rsid w:val="00811951"/>
    <w:rsid w:val="00811F21"/>
    <w:rsid w:val="008148A5"/>
    <w:rsid w:val="00822B45"/>
    <w:rsid w:val="00823B0E"/>
    <w:rsid w:val="00833FE3"/>
    <w:rsid w:val="00840154"/>
    <w:rsid w:val="00840E44"/>
    <w:rsid w:val="00841A3E"/>
    <w:rsid w:val="00842BAA"/>
    <w:rsid w:val="00843215"/>
    <w:rsid w:val="008454A5"/>
    <w:rsid w:val="00847B02"/>
    <w:rsid w:val="00850254"/>
    <w:rsid w:val="0085054A"/>
    <w:rsid w:val="00851C87"/>
    <w:rsid w:val="00855405"/>
    <w:rsid w:val="00860616"/>
    <w:rsid w:val="00864D56"/>
    <w:rsid w:val="00864DE9"/>
    <w:rsid w:val="00865471"/>
    <w:rsid w:val="0086625A"/>
    <w:rsid w:val="0086637A"/>
    <w:rsid w:val="008672E8"/>
    <w:rsid w:val="00870061"/>
    <w:rsid w:val="00871099"/>
    <w:rsid w:val="00877C4A"/>
    <w:rsid w:val="0088024E"/>
    <w:rsid w:val="008805F4"/>
    <w:rsid w:val="00882B3C"/>
    <w:rsid w:val="00890E49"/>
    <w:rsid w:val="00894584"/>
    <w:rsid w:val="008A0620"/>
    <w:rsid w:val="008A5E8C"/>
    <w:rsid w:val="008A6812"/>
    <w:rsid w:val="008B295B"/>
    <w:rsid w:val="008B2A3F"/>
    <w:rsid w:val="008B31E3"/>
    <w:rsid w:val="008B490A"/>
    <w:rsid w:val="008C0F8D"/>
    <w:rsid w:val="008C1558"/>
    <w:rsid w:val="008C5291"/>
    <w:rsid w:val="008D43BD"/>
    <w:rsid w:val="008D4AEB"/>
    <w:rsid w:val="008E052F"/>
    <w:rsid w:val="008E1E0D"/>
    <w:rsid w:val="008E254F"/>
    <w:rsid w:val="008E27C9"/>
    <w:rsid w:val="008E3FCD"/>
    <w:rsid w:val="008E5A36"/>
    <w:rsid w:val="008F2691"/>
    <w:rsid w:val="008F76E3"/>
    <w:rsid w:val="00902283"/>
    <w:rsid w:val="00902DDE"/>
    <w:rsid w:val="00905E96"/>
    <w:rsid w:val="0090786C"/>
    <w:rsid w:val="00910355"/>
    <w:rsid w:val="00911A3B"/>
    <w:rsid w:val="00912105"/>
    <w:rsid w:val="00916F94"/>
    <w:rsid w:val="0092201A"/>
    <w:rsid w:val="009276BC"/>
    <w:rsid w:val="00927CCC"/>
    <w:rsid w:val="0093119B"/>
    <w:rsid w:val="0093475F"/>
    <w:rsid w:val="00936583"/>
    <w:rsid w:val="00944412"/>
    <w:rsid w:val="00952688"/>
    <w:rsid w:val="009557D5"/>
    <w:rsid w:val="00956130"/>
    <w:rsid w:val="00956BCC"/>
    <w:rsid w:val="00956C27"/>
    <w:rsid w:val="00961FA0"/>
    <w:rsid w:val="00965344"/>
    <w:rsid w:val="00965DD7"/>
    <w:rsid w:val="009661F5"/>
    <w:rsid w:val="00967072"/>
    <w:rsid w:val="00973912"/>
    <w:rsid w:val="00975474"/>
    <w:rsid w:val="00981391"/>
    <w:rsid w:val="0098212D"/>
    <w:rsid w:val="0098233E"/>
    <w:rsid w:val="00982E26"/>
    <w:rsid w:val="00983994"/>
    <w:rsid w:val="00983B25"/>
    <w:rsid w:val="00992232"/>
    <w:rsid w:val="00994591"/>
    <w:rsid w:val="00994A05"/>
    <w:rsid w:val="009A2EEF"/>
    <w:rsid w:val="009A3334"/>
    <w:rsid w:val="009A3B90"/>
    <w:rsid w:val="009A6646"/>
    <w:rsid w:val="009A783B"/>
    <w:rsid w:val="009B27BD"/>
    <w:rsid w:val="009B6C22"/>
    <w:rsid w:val="009B7CCD"/>
    <w:rsid w:val="009C096D"/>
    <w:rsid w:val="009C121C"/>
    <w:rsid w:val="009C1E2E"/>
    <w:rsid w:val="009C2CFC"/>
    <w:rsid w:val="009C3DB8"/>
    <w:rsid w:val="009C41C3"/>
    <w:rsid w:val="009C61BE"/>
    <w:rsid w:val="009C7585"/>
    <w:rsid w:val="009C77CB"/>
    <w:rsid w:val="009D2E12"/>
    <w:rsid w:val="009D4517"/>
    <w:rsid w:val="009D615C"/>
    <w:rsid w:val="009E2002"/>
    <w:rsid w:val="009E60F4"/>
    <w:rsid w:val="009F2EBE"/>
    <w:rsid w:val="009F2F82"/>
    <w:rsid w:val="009F36BF"/>
    <w:rsid w:val="009F4DBC"/>
    <w:rsid w:val="009F51CE"/>
    <w:rsid w:val="009F6EFC"/>
    <w:rsid w:val="009F7138"/>
    <w:rsid w:val="009F7991"/>
    <w:rsid w:val="00A004DF"/>
    <w:rsid w:val="00A00641"/>
    <w:rsid w:val="00A01184"/>
    <w:rsid w:val="00A0215F"/>
    <w:rsid w:val="00A02C04"/>
    <w:rsid w:val="00A03364"/>
    <w:rsid w:val="00A07EFB"/>
    <w:rsid w:val="00A17318"/>
    <w:rsid w:val="00A209B1"/>
    <w:rsid w:val="00A22488"/>
    <w:rsid w:val="00A22817"/>
    <w:rsid w:val="00A23BC2"/>
    <w:rsid w:val="00A23E7D"/>
    <w:rsid w:val="00A258CC"/>
    <w:rsid w:val="00A26323"/>
    <w:rsid w:val="00A3067F"/>
    <w:rsid w:val="00A31A88"/>
    <w:rsid w:val="00A36B13"/>
    <w:rsid w:val="00A37E8A"/>
    <w:rsid w:val="00A40434"/>
    <w:rsid w:val="00A4058D"/>
    <w:rsid w:val="00A4667D"/>
    <w:rsid w:val="00A53DFA"/>
    <w:rsid w:val="00A5794F"/>
    <w:rsid w:val="00A57E30"/>
    <w:rsid w:val="00A57E79"/>
    <w:rsid w:val="00A641B3"/>
    <w:rsid w:val="00A67F19"/>
    <w:rsid w:val="00A70AB9"/>
    <w:rsid w:val="00A725B5"/>
    <w:rsid w:val="00A739A7"/>
    <w:rsid w:val="00A75AFE"/>
    <w:rsid w:val="00A809F7"/>
    <w:rsid w:val="00A80ACB"/>
    <w:rsid w:val="00A818EF"/>
    <w:rsid w:val="00A8205A"/>
    <w:rsid w:val="00A82130"/>
    <w:rsid w:val="00A9049F"/>
    <w:rsid w:val="00A90A00"/>
    <w:rsid w:val="00A95015"/>
    <w:rsid w:val="00AA0118"/>
    <w:rsid w:val="00AA1A58"/>
    <w:rsid w:val="00AA26D2"/>
    <w:rsid w:val="00AB12CC"/>
    <w:rsid w:val="00AB40D3"/>
    <w:rsid w:val="00AB6AD4"/>
    <w:rsid w:val="00AC0FEB"/>
    <w:rsid w:val="00AC4D5D"/>
    <w:rsid w:val="00AC5A7E"/>
    <w:rsid w:val="00AD270F"/>
    <w:rsid w:val="00AD38DC"/>
    <w:rsid w:val="00AE6827"/>
    <w:rsid w:val="00AE6C05"/>
    <w:rsid w:val="00AF0AC9"/>
    <w:rsid w:val="00AF2128"/>
    <w:rsid w:val="00AF36FB"/>
    <w:rsid w:val="00AF6845"/>
    <w:rsid w:val="00AF6982"/>
    <w:rsid w:val="00AF7A85"/>
    <w:rsid w:val="00B006BF"/>
    <w:rsid w:val="00B03D69"/>
    <w:rsid w:val="00B03FD9"/>
    <w:rsid w:val="00B04404"/>
    <w:rsid w:val="00B045DE"/>
    <w:rsid w:val="00B055A8"/>
    <w:rsid w:val="00B07FC3"/>
    <w:rsid w:val="00B1155F"/>
    <w:rsid w:val="00B1415D"/>
    <w:rsid w:val="00B165CB"/>
    <w:rsid w:val="00B21ABE"/>
    <w:rsid w:val="00B22249"/>
    <w:rsid w:val="00B222E6"/>
    <w:rsid w:val="00B22BD4"/>
    <w:rsid w:val="00B33383"/>
    <w:rsid w:val="00B363A9"/>
    <w:rsid w:val="00B418A3"/>
    <w:rsid w:val="00B46D54"/>
    <w:rsid w:val="00B5049C"/>
    <w:rsid w:val="00B52507"/>
    <w:rsid w:val="00B534CD"/>
    <w:rsid w:val="00B60607"/>
    <w:rsid w:val="00B637D0"/>
    <w:rsid w:val="00B638CB"/>
    <w:rsid w:val="00B64DE9"/>
    <w:rsid w:val="00B7520D"/>
    <w:rsid w:val="00B7584C"/>
    <w:rsid w:val="00B77051"/>
    <w:rsid w:val="00B81BC9"/>
    <w:rsid w:val="00B8253E"/>
    <w:rsid w:val="00B85654"/>
    <w:rsid w:val="00B925B1"/>
    <w:rsid w:val="00B939C1"/>
    <w:rsid w:val="00B94347"/>
    <w:rsid w:val="00B95EFB"/>
    <w:rsid w:val="00B96051"/>
    <w:rsid w:val="00B962BE"/>
    <w:rsid w:val="00BA531C"/>
    <w:rsid w:val="00BB28C1"/>
    <w:rsid w:val="00BB3ED2"/>
    <w:rsid w:val="00BB5BB5"/>
    <w:rsid w:val="00BC0948"/>
    <w:rsid w:val="00BC11AA"/>
    <w:rsid w:val="00BC28FF"/>
    <w:rsid w:val="00BC3998"/>
    <w:rsid w:val="00BC44E4"/>
    <w:rsid w:val="00BC5EC8"/>
    <w:rsid w:val="00BC6164"/>
    <w:rsid w:val="00BD0AB0"/>
    <w:rsid w:val="00BD267A"/>
    <w:rsid w:val="00BD5796"/>
    <w:rsid w:val="00BE0D93"/>
    <w:rsid w:val="00BE20DC"/>
    <w:rsid w:val="00BE335C"/>
    <w:rsid w:val="00BE3FBD"/>
    <w:rsid w:val="00BE4D33"/>
    <w:rsid w:val="00BF3B37"/>
    <w:rsid w:val="00BF51C2"/>
    <w:rsid w:val="00C02E12"/>
    <w:rsid w:val="00C044A4"/>
    <w:rsid w:val="00C0595C"/>
    <w:rsid w:val="00C10A1B"/>
    <w:rsid w:val="00C12773"/>
    <w:rsid w:val="00C16A44"/>
    <w:rsid w:val="00C17231"/>
    <w:rsid w:val="00C178EC"/>
    <w:rsid w:val="00C17EBA"/>
    <w:rsid w:val="00C220B6"/>
    <w:rsid w:val="00C245F9"/>
    <w:rsid w:val="00C24F5D"/>
    <w:rsid w:val="00C26039"/>
    <w:rsid w:val="00C26F34"/>
    <w:rsid w:val="00C2760B"/>
    <w:rsid w:val="00C3329C"/>
    <w:rsid w:val="00C35643"/>
    <w:rsid w:val="00C3744C"/>
    <w:rsid w:val="00C410E7"/>
    <w:rsid w:val="00C41CCC"/>
    <w:rsid w:val="00C432B0"/>
    <w:rsid w:val="00C45AF8"/>
    <w:rsid w:val="00C47F6C"/>
    <w:rsid w:val="00C543A3"/>
    <w:rsid w:val="00C543BD"/>
    <w:rsid w:val="00C641B6"/>
    <w:rsid w:val="00C6679F"/>
    <w:rsid w:val="00C70D07"/>
    <w:rsid w:val="00C717C3"/>
    <w:rsid w:val="00C7542A"/>
    <w:rsid w:val="00C7555D"/>
    <w:rsid w:val="00C75661"/>
    <w:rsid w:val="00C7580B"/>
    <w:rsid w:val="00C77DAF"/>
    <w:rsid w:val="00C81D05"/>
    <w:rsid w:val="00C83D72"/>
    <w:rsid w:val="00C86BC4"/>
    <w:rsid w:val="00C905F7"/>
    <w:rsid w:val="00C9360F"/>
    <w:rsid w:val="00CA2554"/>
    <w:rsid w:val="00CA3278"/>
    <w:rsid w:val="00CA3A43"/>
    <w:rsid w:val="00CA459F"/>
    <w:rsid w:val="00CB3CBA"/>
    <w:rsid w:val="00CB3CFA"/>
    <w:rsid w:val="00CB3D02"/>
    <w:rsid w:val="00CB4F67"/>
    <w:rsid w:val="00CB6C45"/>
    <w:rsid w:val="00CC15E6"/>
    <w:rsid w:val="00CC1E66"/>
    <w:rsid w:val="00CC392D"/>
    <w:rsid w:val="00CC452D"/>
    <w:rsid w:val="00CD017B"/>
    <w:rsid w:val="00CD2290"/>
    <w:rsid w:val="00CD2B81"/>
    <w:rsid w:val="00CD4C1E"/>
    <w:rsid w:val="00CD7B0F"/>
    <w:rsid w:val="00CE06BC"/>
    <w:rsid w:val="00CE1640"/>
    <w:rsid w:val="00CE28E9"/>
    <w:rsid w:val="00CE3466"/>
    <w:rsid w:val="00CE44C1"/>
    <w:rsid w:val="00CE5029"/>
    <w:rsid w:val="00CF3346"/>
    <w:rsid w:val="00CF74F4"/>
    <w:rsid w:val="00D006C1"/>
    <w:rsid w:val="00D0395E"/>
    <w:rsid w:val="00D047E1"/>
    <w:rsid w:val="00D10167"/>
    <w:rsid w:val="00D130C2"/>
    <w:rsid w:val="00D14DB5"/>
    <w:rsid w:val="00D251CA"/>
    <w:rsid w:val="00D25BB4"/>
    <w:rsid w:val="00D26BB7"/>
    <w:rsid w:val="00D31B60"/>
    <w:rsid w:val="00D405B0"/>
    <w:rsid w:val="00D417BC"/>
    <w:rsid w:val="00D4353A"/>
    <w:rsid w:val="00D440BD"/>
    <w:rsid w:val="00D445AA"/>
    <w:rsid w:val="00D44E10"/>
    <w:rsid w:val="00D47014"/>
    <w:rsid w:val="00D47797"/>
    <w:rsid w:val="00D509D3"/>
    <w:rsid w:val="00D51E4F"/>
    <w:rsid w:val="00D532AF"/>
    <w:rsid w:val="00D538FE"/>
    <w:rsid w:val="00D54957"/>
    <w:rsid w:val="00D6304E"/>
    <w:rsid w:val="00D73297"/>
    <w:rsid w:val="00D763E2"/>
    <w:rsid w:val="00D779A8"/>
    <w:rsid w:val="00D81F3B"/>
    <w:rsid w:val="00D84945"/>
    <w:rsid w:val="00D8554A"/>
    <w:rsid w:val="00D85D7E"/>
    <w:rsid w:val="00D92253"/>
    <w:rsid w:val="00D94F69"/>
    <w:rsid w:val="00D96B2A"/>
    <w:rsid w:val="00D97750"/>
    <w:rsid w:val="00DA1D24"/>
    <w:rsid w:val="00DA227E"/>
    <w:rsid w:val="00DA619F"/>
    <w:rsid w:val="00DB0089"/>
    <w:rsid w:val="00DB4BDC"/>
    <w:rsid w:val="00DB7192"/>
    <w:rsid w:val="00DC05A8"/>
    <w:rsid w:val="00DC05C2"/>
    <w:rsid w:val="00DC05CF"/>
    <w:rsid w:val="00DC378E"/>
    <w:rsid w:val="00DC7EB4"/>
    <w:rsid w:val="00DD01E8"/>
    <w:rsid w:val="00DD2298"/>
    <w:rsid w:val="00DD2D1F"/>
    <w:rsid w:val="00DD5835"/>
    <w:rsid w:val="00DE2067"/>
    <w:rsid w:val="00DE48EF"/>
    <w:rsid w:val="00DE5591"/>
    <w:rsid w:val="00DE74FE"/>
    <w:rsid w:val="00DF0C85"/>
    <w:rsid w:val="00DF3307"/>
    <w:rsid w:val="00DF3DF9"/>
    <w:rsid w:val="00DF4A6D"/>
    <w:rsid w:val="00DF5612"/>
    <w:rsid w:val="00DF5D04"/>
    <w:rsid w:val="00DF79F1"/>
    <w:rsid w:val="00E03312"/>
    <w:rsid w:val="00E07867"/>
    <w:rsid w:val="00E10ABD"/>
    <w:rsid w:val="00E12316"/>
    <w:rsid w:val="00E13582"/>
    <w:rsid w:val="00E16C4C"/>
    <w:rsid w:val="00E17722"/>
    <w:rsid w:val="00E234F7"/>
    <w:rsid w:val="00E2383A"/>
    <w:rsid w:val="00E320DD"/>
    <w:rsid w:val="00E41A5D"/>
    <w:rsid w:val="00E41ACF"/>
    <w:rsid w:val="00E438D6"/>
    <w:rsid w:val="00E46358"/>
    <w:rsid w:val="00E5132E"/>
    <w:rsid w:val="00E60F90"/>
    <w:rsid w:val="00E61867"/>
    <w:rsid w:val="00E636CF"/>
    <w:rsid w:val="00E77E0C"/>
    <w:rsid w:val="00E8256C"/>
    <w:rsid w:val="00E85A2D"/>
    <w:rsid w:val="00E919BF"/>
    <w:rsid w:val="00E92898"/>
    <w:rsid w:val="00E94B69"/>
    <w:rsid w:val="00E94C48"/>
    <w:rsid w:val="00E97043"/>
    <w:rsid w:val="00E97798"/>
    <w:rsid w:val="00EA1761"/>
    <w:rsid w:val="00EA597F"/>
    <w:rsid w:val="00EB1DDF"/>
    <w:rsid w:val="00EB2E9F"/>
    <w:rsid w:val="00EB7C51"/>
    <w:rsid w:val="00EB7CCE"/>
    <w:rsid w:val="00EC34D8"/>
    <w:rsid w:val="00EC50F2"/>
    <w:rsid w:val="00EC6035"/>
    <w:rsid w:val="00EC67A0"/>
    <w:rsid w:val="00ED3B64"/>
    <w:rsid w:val="00ED4C72"/>
    <w:rsid w:val="00ED670A"/>
    <w:rsid w:val="00ED7187"/>
    <w:rsid w:val="00ED76CB"/>
    <w:rsid w:val="00EF0CF4"/>
    <w:rsid w:val="00EF1CB4"/>
    <w:rsid w:val="00EF7EB6"/>
    <w:rsid w:val="00F02EEC"/>
    <w:rsid w:val="00F0638B"/>
    <w:rsid w:val="00F1159F"/>
    <w:rsid w:val="00F16997"/>
    <w:rsid w:val="00F253BF"/>
    <w:rsid w:val="00F254B8"/>
    <w:rsid w:val="00F2553D"/>
    <w:rsid w:val="00F258E0"/>
    <w:rsid w:val="00F26DBF"/>
    <w:rsid w:val="00F333F6"/>
    <w:rsid w:val="00F3380E"/>
    <w:rsid w:val="00F34135"/>
    <w:rsid w:val="00F46084"/>
    <w:rsid w:val="00F5246F"/>
    <w:rsid w:val="00F55317"/>
    <w:rsid w:val="00F56608"/>
    <w:rsid w:val="00F6443D"/>
    <w:rsid w:val="00F6598E"/>
    <w:rsid w:val="00F6654D"/>
    <w:rsid w:val="00F67B95"/>
    <w:rsid w:val="00F70E55"/>
    <w:rsid w:val="00F74143"/>
    <w:rsid w:val="00F75DD9"/>
    <w:rsid w:val="00F760CD"/>
    <w:rsid w:val="00F77AE5"/>
    <w:rsid w:val="00F8028C"/>
    <w:rsid w:val="00F812AA"/>
    <w:rsid w:val="00F8387C"/>
    <w:rsid w:val="00F8499D"/>
    <w:rsid w:val="00F84B14"/>
    <w:rsid w:val="00F84CC0"/>
    <w:rsid w:val="00F86537"/>
    <w:rsid w:val="00F86613"/>
    <w:rsid w:val="00F87529"/>
    <w:rsid w:val="00F9072F"/>
    <w:rsid w:val="00F90A0A"/>
    <w:rsid w:val="00F91024"/>
    <w:rsid w:val="00F9306C"/>
    <w:rsid w:val="00F955D1"/>
    <w:rsid w:val="00F955D8"/>
    <w:rsid w:val="00FA2C10"/>
    <w:rsid w:val="00FA30A5"/>
    <w:rsid w:val="00FA5F1C"/>
    <w:rsid w:val="00FA7122"/>
    <w:rsid w:val="00FA784B"/>
    <w:rsid w:val="00FB4377"/>
    <w:rsid w:val="00FB668D"/>
    <w:rsid w:val="00FB6A19"/>
    <w:rsid w:val="00FC06BF"/>
    <w:rsid w:val="00FD40B0"/>
    <w:rsid w:val="00FD4B12"/>
    <w:rsid w:val="00FD78D6"/>
    <w:rsid w:val="00FE6C0F"/>
    <w:rsid w:val="00FF606F"/>
    <w:rsid w:val="00FF6569"/>
    <w:rsid w:val="00FF73C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margin" fillcolor="none [1606]" stroke="f">
      <v:fill color="none [1606]" opacity="0" color2="none [2374]" rotate="t" focusposition=".5,.5" focussize="" focus="100%" type="gradientRadial"/>
      <v:stroke color2="#fffffe [rgb(255,255,254) ink(7,255)]" weight="0" on="f">
        <o:left v:ext="view" color="#212120 [rgb(33,33,32) cmyk(0,0,0,100)]" color2="#fffffe [rgb(255,255,254) ink(7,255)]"/>
        <o:top v:ext="view" color="#212120 [rgb(33,33,32) cmyk(0,0,0,100)]" color2="#fffffe [rgb(255,255,254) ink(7,255)]"/>
        <o:right v:ext="view" color="#212120 [rgb(33,33,32) cmyk(0,0,0,100)]" color2="#fffffe [rgb(255,255,254) ink(7,255)]"/>
        <o:bottom v:ext="view" color="#212120 [rgb(33,33,32) cmyk(0,0,0,100)]" color2="#fffffe [rgb(255,255,254) ink(7,255)]"/>
        <o:column v:ext="view" color="#212120 [rgb(33,33,32) cmyk(0,0,0,100)]" color2="#fffffe [rgb(255,255,254) ink(7,255)]"/>
      </v:stroke>
      <v:shadow on="t" type="perspective" color="none [1606]" offset="1pt" offset2="-3pt"/>
    </o:shapedefaults>
    <o:shapelayout v:ext="edit">
      <o:idmap v:ext="edit" data="2"/>
    </o:shapelayout>
  </w:shapeDefaults>
  <w:decimalSymbol w:val="."/>
  <w:listSeparator w:val=","/>
  <w14:docId w14:val="534E4353"/>
  <w15:docId w15:val="{D248B0A2-9688-431C-925C-50DCAAC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spacing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8" w:unhideWhenUsed="1"/>
    <w:lsdException w:name="footnote text" w:semiHidden="1" w:unhideWhenUsed="1"/>
    <w:lsdException w:name="annotation text" w:semiHidden="1" w:uiPriority="8" w:unhideWhenUsed="1"/>
    <w:lsdException w:name="header" w:semiHidden="1" w:uiPriority="99" w:unhideWhenUsed="1"/>
    <w:lsdException w:name="footer" w:semiHidden="1" w:uiPriority="99" w:unhideWhenUsed="1"/>
    <w:lsdException w:name="index heading" w:semiHidden="1" w:uiPriority="8" w:unhideWhenUsed="1"/>
    <w:lsdException w:name="caption" w:semiHidden="1" w:uiPriority="8" w:unhideWhenUsed="1" w:qFormat="1"/>
    <w:lsdException w:name="table of figures" w:semiHidden="1" w:uiPriority="8" w:unhideWhenUsed="1"/>
    <w:lsdException w:name="envelope address" w:semiHidden="1" w:uiPriority="8" w:unhideWhenUsed="1"/>
    <w:lsdException w:name="envelope return" w:semiHidden="1" w:uiPriority="8" w:unhideWhenUsed="1"/>
    <w:lsdException w:name="footnote reference" w:semiHidden="1" w:unhideWhenUsed="1"/>
    <w:lsdException w:name="annotation reference" w:semiHidden="1" w:uiPriority="8" w:unhideWhenUsed="1"/>
    <w:lsdException w:name="line number" w:semiHidden="1" w:uiPriority="8" w:unhideWhenUsed="1"/>
    <w:lsdException w:name="page number" w:semiHidden="1" w:uiPriority="8" w:unhideWhenUsed="1"/>
    <w:lsdException w:name="endnote reference" w:semiHidden="1" w:uiPriority="8" w:unhideWhenUsed="1"/>
    <w:lsdException w:name="endnote text" w:semiHidden="1" w:uiPriority="8" w:unhideWhenUsed="1"/>
    <w:lsdException w:name="table of authorities" w:semiHidden="1" w:uiPriority="8" w:unhideWhenUsed="1"/>
    <w:lsdException w:name="macro" w:uiPriority="8"/>
    <w:lsdException w:name="toa heading" w:semiHidden="1" w:uiPriority="8" w:unhideWhenUsed="1"/>
    <w:lsdException w:name="List" w:semiHidden="1" w:uiPriority="8" w:unhideWhenUsed="1"/>
    <w:lsdException w:name="List Bullet" w:uiPriority="5" w:qFormat="1"/>
    <w:lsdException w:name="List Number" w:uiPriority="8"/>
    <w:lsdException w:name="List 2" w:semiHidden="1" w:uiPriority="8" w:unhideWhenUsed="1"/>
    <w:lsdException w:name="List 3" w:semiHidden="1" w:uiPriority="8" w:unhideWhenUsed="1"/>
    <w:lsdException w:name="List 4" w:semiHidden="1" w:uiPriority="8"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Closing" w:semiHidden="1" w:uiPriority="8" w:unhideWhenUsed="1"/>
    <w:lsdException w:name="Signature" w:semiHidden="1" w:uiPriority="8" w:unhideWhenUsed="1"/>
    <w:lsdException w:name="Default Paragraph Font" w:semiHidden="1" w:unhideWhenUsed="1"/>
    <w:lsdException w:name="Body Text" w:semiHidden="1" w:uiPriority="8" w:unhideWhenUsed="1"/>
    <w:lsdException w:name="Body Text Indent" w:semiHidden="1" w:uiPriority="8" w:unhideWhenUsed="1"/>
    <w:lsdException w:name="List Continue" w:semiHidden="1" w:uiPriority="8" w:unhideWhenUsed="1"/>
    <w:lsdException w:name="List Continue 2" w:semiHidden="1" w:uiPriority="8" w:unhideWhenUsed="1"/>
    <w:lsdException w:name="List Continue 3" w:uiPriority="8"/>
    <w:lsdException w:name="List Continue 4" w:uiPriority="8"/>
    <w:lsdException w:name="List Continue 5" w:uiPriority="8"/>
    <w:lsdException w:name="Message Header" w:uiPriority="8"/>
    <w:lsdException w:name="Subtitle" w:uiPriority="8"/>
    <w:lsdException w:name="Salutation" w:semiHidden="1" w:uiPriority="8" w:unhideWhenUsed="1"/>
    <w:lsdException w:name="Date" w:semiHidden="1" w:uiPriority="8" w:unhideWhenUsed="1"/>
    <w:lsdException w:name="Body Text First Indent" w:semiHidden="1" w:uiPriority="8" w:unhideWhenUsed="1"/>
    <w:lsdException w:name="Body Text First Indent 2" w:semiHidden="1" w:uiPriority="8" w:unhideWhenUsed="1"/>
    <w:lsdException w:name="Note Heading" w:semiHidden="1" w:uiPriority="8" w:unhideWhenUsed="1"/>
    <w:lsdException w:name="Body Text 2" w:semiHidden="1" w:uiPriority="8" w:unhideWhenUsed="1"/>
    <w:lsdException w:name="Body Text 3" w:semiHidden="1" w:uiPriority="8" w:unhideWhenUsed="1"/>
    <w:lsdException w:name="Body Text Indent 2" w:semiHidden="1" w:uiPriority="8" w:unhideWhenUsed="1"/>
    <w:lsdException w:name="Body Text Indent 3" w:semiHidden="1" w:uiPriority="8" w:unhideWhenUsed="1"/>
    <w:lsdException w:name="Block Text" w:semiHidden="1" w:uiPriority="8" w:unhideWhenUsed="1"/>
    <w:lsdException w:name="Hyperlink" w:semiHidden="1" w:uiPriority="99" w:unhideWhenUsed="1"/>
    <w:lsdException w:name="FollowedHyperlink" w:semiHidden="1" w:uiPriority="8" w:unhideWhenUsed="1"/>
    <w:lsdException w:name="Strong" w:uiPriority="22" w:qFormat="1"/>
    <w:lsdException w:name="Emphasis" w:uiPriority="8" w:qFormat="1"/>
    <w:lsdException w:name="Document Map" w:semiHidden="1" w:uiPriority="8" w:unhideWhenUsed="1"/>
    <w:lsdException w:name="Plain Text" w:semiHidden="1" w:uiPriority="8" w:unhideWhenUsed="1"/>
    <w:lsdException w:name="E-mail Signature" w:semiHidden="1" w:uiPriority="8"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8" w:unhideWhenUsed="1"/>
    <w:lsdException w:name="HTML Address" w:semiHidden="1" w:uiPriority="8" w:unhideWhenUsed="1"/>
    <w:lsdException w:name="HTML Cite" w:semiHidden="1" w:uiPriority="8" w:unhideWhenUsed="1"/>
    <w:lsdException w:name="HTML Code" w:semiHidden="1" w:uiPriority="8" w:unhideWhenUsed="1"/>
    <w:lsdException w:name="HTML Definition" w:semiHidden="1" w:uiPriority="8" w:unhideWhenUsed="1"/>
    <w:lsdException w:name="HTML Keyboard" w:semiHidden="1" w:uiPriority="8" w:unhideWhenUsed="1"/>
    <w:lsdException w:name="HTML Preformatted" w:semiHidden="1" w:uiPriority="99" w:unhideWhenUsed="1"/>
    <w:lsdException w:name="HTML Sample" w:semiHidden="1" w:uiPriority="8" w:unhideWhenUsed="1"/>
    <w:lsdException w:name="HTML Typewriter" w:semiHidden="1" w:uiPriority="8" w:unhideWhenUsed="1"/>
    <w:lsdException w:name="HTML Variable" w:semiHidden="1" w:uiPriority="8" w:unhideWhenUsed="1"/>
    <w:lsdException w:name="Normal Table" w:semiHidden="1" w:unhideWhenUsed="1"/>
    <w:lsdException w:name="annotation subject" w:semiHidden="1" w:uiPriority="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2" w:qFormat="1"/>
    <w:lsdException w:name="Quote" w:uiPriority="37" w:qFormat="1"/>
    <w:lsdException w:name="Intense Quote"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7"/>
    <w:lsdException w:name="Intense Emphasis" w:uiPriority="29"/>
    <w:lsdException w:name="Subtle Reference" w:uiPriority="39"/>
    <w:lsdException w:name="Intense Reference" w:uiPriority="40"/>
    <w:lsdException w:name="Book Title" w:uiPriority="41" w:qFormat="1"/>
    <w:lsdException w:name="Bibliography" w:semiHidden="1" w:uiPriority="45"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DB8"/>
    <w:pPr>
      <w:spacing w:before="40" w:after="280" w:line="276" w:lineRule="auto"/>
      <w:jc w:val="both"/>
    </w:pPr>
    <w:rPr>
      <w:rFonts w:asciiTheme="minorHAnsi" w:hAnsiTheme="minorHAnsi" w:cstheme="minorHAnsi"/>
    </w:rPr>
  </w:style>
  <w:style w:type="paragraph" w:styleId="Heading1">
    <w:name w:val="heading 1"/>
    <w:basedOn w:val="Normal"/>
    <w:next w:val="Normal"/>
    <w:uiPriority w:val="3"/>
    <w:qFormat/>
    <w:rsid w:val="00686FCA"/>
    <w:pPr>
      <w:keepNext/>
      <w:keepLines/>
      <w:tabs>
        <w:tab w:val="right" w:pos="9360"/>
      </w:tabs>
      <w:spacing w:before="360" w:line="264" w:lineRule="auto"/>
      <w:outlineLvl w:val="0"/>
    </w:pPr>
    <w:rPr>
      <w:rFonts w:cs="Arial (Body)"/>
      <w:b/>
      <w:bCs/>
      <w:color w:val="009CDE"/>
      <w:szCs w:val="30"/>
    </w:rPr>
  </w:style>
  <w:style w:type="paragraph" w:styleId="Heading2">
    <w:name w:val="heading 2"/>
    <w:basedOn w:val="Normal"/>
    <w:next w:val="Normal"/>
    <w:uiPriority w:val="4"/>
    <w:qFormat/>
    <w:rsid w:val="00686FCA"/>
    <w:pPr>
      <w:pageBreakBefore/>
      <w:spacing w:after="120"/>
      <w:jc w:val="center"/>
      <w:outlineLvl w:val="1"/>
    </w:pPr>
    <w:rPr>
      <w:b/>
      <w:color w:val="004B97"/>
      <w:sz w:val="26"/>
      <w:szCs w:val="26"/>
    </w:rPr>
  </w:style>
  <w:style w:type="paragraph" w:styleId="Heading3">
    <w:name w:val="heading 3"/>
    <w:basedOn w:val="Normal"/>
    <w:next w:val="Normal"/>
    <w:uiPriority w:val="5"/>
    <w:qFormat/>
    <w:rsid w:val="00327493"/>
    <w:pPr>
      <w:keepNext/>
      <w:spacing w:after="240"/>
      <w:outlineLvl w:val="2"/>
    </w:pPr>
    <w:rPr>
      <w:rFonts w:cs="Arial"/>
      <w:b/>
      <w:bCs/>
      <w:szCs w:val="26"/>
    </w:rPr>
  </w:style>
  <w:style w:type="paragraph" w:styleId="Heading4">
    <w:name w:val="heading 4"/>
    <w:basedOn w:val="Normal"/>
    <w:next w:val="Normal"/>
    <w:uiPriority w:val="6"/>
    <w:qFormat/>
    <w:rsid w:val="00327493"/>
    <w:pPr>
      <w:keepNext/>
      <w:spacing w:after="240"/>
      <w:outlineLvl w:val="3"/>
    </w:pPr>
    <w:rPr>
      <w:b/>
      <w:bCs/>
      <w:i/>
      <w:szCs w:val="28"/>
    </w:rPr>
  </w:style>
  <w:style w:type="paragraph" w:styleId="Heading5">
    <w:name w:val="heading 5"/>
    <w:basedOn w:val="Normal"/>
    <w:next w:val="Normal"/>
    <w:uiPriority w:val="7"/>
    <w:qFormat/>
    <w:rsid w:val="00327493"/>
    <w:pPr>
      <w:keepNext/>
      <w:spacing w:after="240"/>
      <w:outlineLvl w:val="4"/>
    </w:pPr>
    <w:rPr>
      <w:bCs/>
      <w:i/>
      <w:iCs/>
      <w:szCs w:val="26"/>
    </w:rPr>
  </w:style>
  <w:style w:type="paragraph" w:styleId="Heading6">
    <w:name w:val="heading 6"/>
    <w:basedOn w:val="Normal"/>
    <w:next w:val="Normal"/>
    <w:uiPriority w:val="8"/>
    <w:rsid w:val="00327493"/>
    <w:pPr>
      <w:outlineLvl w:val="5"/>
    </w:pPr>
    <w:rPr>
      <w:bCs/>
      <w:szCs w:val="22"/>
    </w:rPr>
  </w:style>
  <w:style w:type="paragraph" w:styleId="Heading7">
    <w:name w:val="heading 7"/>
    <w:basedOn w:val="Normal"/>
    <w:next w:val="Normal"/>
    <w:uiPriority w:val="8"/>
    <w:rsid w:val="00327493"/>
    <w:pPr>
      <w:outlineLvl w:val="6"/>
    </w:pPr>
  </w:style>
  <w:style w:type="paragraph" w:styleId="Heading8">
    <w:name w:val="heading 8"/>
    <w:basedOn w:val="Normal"/>
    <w:next w:val="Normal"/>
    <w:uiPriority w:val="8"/>
    <w:rsid w:val="00327493"/>
    <w:pPr>
      <w:outlineLvl w:val="7"/>
    </w:pPr>
    <w:rPr>
      <w:iCs/>
    </w:rPr>
  </w:style>
  <w:style w:type="paragraph" w:styleId="Heading9">
    <w:name w:val="heading 9"/>
    <w:basedOn w:val="Normal"/>
    <w:next w:val="Normal"/>
    <w:uiPriority w:val="8"/>
    <w:rsid w:val="00327493"/>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76E3"/>
    <w:rPr>
      <w:rFonts w:asciiTheme="majorHAnsi" w:hAnsiTheme="majorHAnsi" w:cstheme="majorHAnsi"/>
      <w:noProof/>
      <w:color w:val="FEFEFE" w:themeColor="background1"/>
      <w:szCs w:val="21"/>
    </w:rPr>
  </w:style>
  <w:style w:type="paragraph" w:styleId="FootnoteText">
    <w:name w:val="footnote text"/>
    <w:basedOn w:val="Normal"/>
    <w:uiPriority w:val="8"/>
    <w:rsid w:val="00327493"/>
    <w:pPr>
      <w:spacing w:after="200"/>
    </w:pPr>
  </w:style>
  <w:style w:type="paragraph" w:customStyle="1" w:styleId="ParagraphNumbering">
    <w:name w:val="Paragraph Numbering"/>
    <w:basedOn w:val="Normal"/>
    <w:uiPriority w:val="1"/>
    <w:qFormat/>
    <w:rsid w:val="00952688"/>
    <w:pPr>
      <w:numPr>
        <w:numId w:val="7"/>
      </w:numPr>
      <w:spacing w:after="240"/>
    </w:pPr>
  </w:style>
  <w:style w:type="paragraph" w:styleId="Footer">
    <w:name w:val="footer"/>
    <w:basedOn w:val="ListBullet"/>
    <w:link w:val="FooterChar"/>
    <w:uiPriority w:val="99"/>
    <w:rsid w:val="00686FCA"/>
    <w:pPr>
      <w:keepNext/>
      <w:numPr>
        <w:numId w:val="0"/>
      </w:numPr>
      <w:tabs>
        <w:tab w:val="right" w:pos="9270"/>
      </w:tabs>
      <w:snapToGrid w:val="0"/>
      <w:spacing w:after="0"/>
      <w:contextualSpacing/>
    </w:pPr>
    <w:rPr>
      <w:color w:val="004B97"/>
      <w:sz w:val="18"/>
    </w:rPr>
  </w:style>
  <w:style w:type="character" w:styleId="FootnoteReference">
    <w:name w:val="footnote reference"/>
    <w:basedOn w:val="DefaultParagraphFont"/>
    <w:uiPriority w:val="8"/>
    <w:rsid w:val="00327493"/>
    <w:rPr>
      <w:sz w:val="20"/>
      <w:vertAlign w:val="superscript"/>
    </w:rPr>
  </w:style>
  <w:style w:type="paragraph" w:customStyle="1" w:styleId="Appendix">
    <w:name w:val="Appendix"/>
    <w:basedOn w:val="Normal"/>
    <w:uiPriority w:val="8"/>
    <w:qFormat/>
    <w:rsid w:val="00327493"/>
    <w:pPr>
      <w:jc w:val="center"/>
    </w:pPr>
    <w:rPr>
      <w:b/>
    </w:rPr>
  </w:style>
  <w:style w:type="paragraph" w:styleId="ListBullet">
    <w:name w:val="List Bullet"/>
    <w:aliases w:val="List 1"/>
    <w:basedOn w:val="Normal"/>
    <w:uiPriority w:val="5"/>
    <w:qFormat/>
    <w:rsid w:val="00327493"/>
    <w:pPr>
      <w:numPr>
        <w:numId w:val="2"/>
      </w:numPr>
      <w:spacing w:after="240"/>
    </w:pPr>
  </w:style>
  <w:style w:type="paragraph" w:styleId="TOC1">
    <w:name w:val="toc 1"/>
    <w:basedOn w:val="Normal"/>
    <w:next w:val="Normal"/>
    <w:uiPriority w:val="8"/>
    <w:rsid w:val="00327493"/>
  </w:style>
  <w:style w:type="paragraph" w:styleId="TOC2">
    <w:name w:val="toc 2"/>
    <w:basedOn w:val="Normal"/>
    <w:next w:val="Normal"/>
    <w:uiPriority w:val="8"/>
    <w:rsid w:val="00327493"/>
    <w:pPr>
      <w:ind w:left="240"/>
    </w:pPr>
  </w:style>
  <w:style w:type="paragraph" w:styleId="TOC3">
    <w:name w:val="toc 3"/>
    <w:basedOn w:val="Normal"/>
    <w:next w:val="Normal"/>
    <w:uiPriority w:val="8"/>
    <w:rsid w:val="00327493"/>
    <w:pPr>
      <w:ind w:left="480"/>
    </w:pPr>
  </w:style>
  <w:style w:type="paragraph" w:styleId="TOC4">
    <w:name w:val="toc 4"/>
    <w:basedOn w:val="Normal"/>
    <w:next w:val="Normal"/>
    <w:uiPriority w:val="8"/>
    <w:rsid w:val="00327493"/>
    <w:pPr>
      <w:ind w:left="720"/>
    </w:pPr>
  </w:style>
  <w:style w:type="paragraph" w:styleId="TOC5">
    <w:name w:val="toc 5"/>
    <w:basedOn w:val="Normal"/>
    <w:next w:val="Normal"/>
    <w:uiPriority w:val="8"/>
    <w:rsid w:val="00327493"/>
    <w:pPr>
      <w:ind w:left="960"/>
    </w:pPr>
  </w:style>
  <w:style w:type="paragraph" w:styleId="TOC6">
    <w:name w:val="toc 6"/>
    <w:basedOn w:val="Normal"/>
    <w:next w:val="Normal"/>
    <w:uiPriority w:val="8"/>
    <w:rsid w:val="00327493"/>
    <w:pPr>
      <w:ind w:left="1200"/>
    </w:pPr>
  </w:style>
  <w:style w:type="paragraph" w:styleId="TOC7">
    <w:name w:val="toc 7"/>
    <w:basedOn w:val="Normal"/>
    <w:next w:val="Normal"/>
    <w:uiPriority w:val="8"/>
    <w:rsid w:val="00327493"/>
    <w:pPr>
      <w:ind w:left="1440"/>
    </w:pPr>
  </w:style>
  <w:style w:type="paragraph" w:styleId="TOC8">
    <w:name w:val="toc 8"/>
    <w:basedOn w:val="Normal"/>
    <w:next w:val="Normal"/>
    <w:uiPriority w:val="8"/>
    <w:rsid w:val="00327493"/>
    <w:pPr>
      <w:ind w:left="1680"/>
    </w:pPr>
  </w:style>
  <w:style w:type="paragraph" w:styleId="TOC9">
    <w:name w:val="toc 9"/>
    <w:basedOn w:val="Normal"/>
    <w:next w:val="Normal"/>
    <w:uiPriority w:val="8"/>
    <w:rsid w:val="00327493"/>
    <w:pPr>
      <w:ind w:left="1920"/>
    </w:pPr>
  </w:style>
  <w:style w:type="paragraph" w:styleId="Index1">
    <w:name w:val="index 1"/>
    <w:basedOn w:val="Normal"/>
    <w:next w:val="Normal"/>
    <w:uiPriority w:val="8"/>
    <w:rsid w:val="00327493"/>
    <w:pPr>
      <w:ind w:left="240" w:hanging="240"/>
    </w:pPr>
  </w:style>
  <w:style w:type="paragraph" w:styleId="Index2">
    <w:name w:val="index 2"/>
    <w:basedOn w:val="Normal"/>
    <w:next w:val="Normal"/>
    <w:uiPriority w:val="8"/>
    <w:rsid w:val="00327493"/>
    <w:pPr>
      <w:ind w:left="480" w:hanging="240"/>
    </w:pPr>
  </w:style>
  <w:style w:type="paragraph" w:styleId="Index3">
    <w:name w:val="index 3"/>
    <w:basedOn w:val="Normal"/>
    <w:next w:val="Normal"/>
    <w:uiPriority w:val="8"/>
    <w:rsid w:val="00327493"/>
    <w:pPr>
      <w:ind w:left="720" w:hanging="240"/>
    </w:pPr>
  </w:style>
  <w:style w:type="paragraph" w:styleId="Index4">
    <w:name w:val="index 4"/>
    <w:basedOn w:val="Normal"/>
    <w:next w:val="Normal"/>
    <w:uiPriority w:val="8"/>
    <w:rsid w:val="00327493"/>
    <w:pPr>
      <w:ind w:left="960" w:hanging="240"/>
    </w:pPr>
  </w:style>
  <w:style w:type="paragraph" w:styleId="Index5">
    <w:name w:val="index 5"/>
    <w:basedOn w:val="Normal"/>
    <w:next w:val="Normal"/>
    <w:uiPriority w:val="8"/>
    <w:rsid w:val="00327493"/>
    <w:pPr>
      <w:ind w:left="1200" w:hanging="240"/>
    </w:pPr>
  </w:style>
  <w:style w:type="paragraph" w:styleId="Index6">
    <w:name w:val="index 6"/>
    <w:basedOn w:val="Normal"/>
    <w:next w:val="Normal"/>
    <w:uiPriority w:val="8"/>
    <w:rsid w:val="00327493"/>
    <w:pPr>
      <w:ind w:left="1440" w:hanging="240"/>
    </w:pPr>
  </w:style>
  <w:style w:type="paragraph" w:styleId="Index7">
    <w:name w:val="index 7"/>
    <w:basedOn w:val="Normal"/>
    <w:next w:val="Normal"/>
    <w:uiPriority w:val="8"/>
    <w:rsid w:val="00327493"/>
    <w:pPr>
      <w:ind w:left="1680" w:hanging="240"/>
    </w:pPr>
  </w:style>
  <w:style w:type="paragraph" w:styleId="Index8">
    <w:name w:val="index 8"/>
    <w:basedOn w:val="Normal"/>
    <w:next w:val="Normal"/>
    <w:uiPriority w:val="8"/>
    <w:rsid w:val="00327493"/>
    <w:pPr>
      <w:ind w:left="1920" w:hanging="240"/>
    </w:pPr>
  </w:style>
  <w:style w:type="paragraph" w:styleId="Index9">
    <w:name w:val="index 9"/>
    <w:basedOn w:val="Normal"/>
    <w:next w:val="Normal"/>
    <w:uiPriority w:val="8"/>
    <w:rsid w:val="00327493"/>
    <w:pPr>
      <w:ind w:left="2160" w:hanging="240"/>
    </w:pPr>
  </w:style>
  <w:style w:type="paragraph" w:styleId="ListBullet2">
    <w:name w:val="List Bullet 2"/>
    <w:basedOn w:val="Normal"/>
    <w:uiPriority w:val="8"/>
    <w:rsid w:val="00327493"/>
    <w:pPr>
      <w:numPr>
        <w:numId w:val="3"/>
      </w:numPr>
    </w:pPr>
  </w:style>
  <w:style w:type="paragraph" w:styleId="ListBullet3">
    <w:name w:val="List Bullet 3"/>
    <w:basedOn w:val="Normal"/>
    <w:uiPriority w:val="8"/>
    <w:rsid w:val="00327493"/>
    <w:pPr>
      <w:numPr>
        <w:numId w:val="4"/>
      </w:numPr>
    </w:pPr>
  </w:style>
  <w:style w:type="paragraph" w:styleId="ListBullet4">
    <w:name w:val="List Bullet 4"/>
    <w:basedOn w:val="Normal"/>
    <w:uiPriority w:val="8"/>
    <w:rsid w:val="00327493"/>
    <w:pPr>
      <w:numPr>
        <w:numId w:val="5"/>
      </w:numPr>
    </w:pPr>
  </w:style>
  <w:style w:type="paragraph" w:styleId="ListBullet5">
    <w:name w:val="List Bullet 5"/>
    <w:basedOn w:val="Normal"/>
    <w:uiPriority w:val="8"/>
    <w:rsid w:val="00327493"/>
    <w:pPr>
      <w:numPr>
        <w:numId w:val="6"/>
      </w:numPr>
    </w:pPr>
  </w:style>
  <w:style w:type="paragraph" w:styleId="Title">
    <w:name w:val="Title"/>
    <w:basedOn w:val="Normal"/>
    <w:uiPriority w:val="8"/>
    <w:rsid w:val="00327493"/>
    <w:pPr>
      <w:spacing w:before="240" w:after="60"/>
      <w:jc w:val="center"/>
      <w:outlineLvl w:val="0"/>
    </w:pPr>
    <w:rPr>
      <w:rFonts w:ascii="Arial" w:hAnsi="Arial" w:cs="Arial"/>
      <w:b/>
      <w:bCs/>
      <w:kern w:val="28"/>
      <w:sz w:val="32"/>
      <w:szCs w:val="32"/>
    </w:rPr>
  </w:style>
  <w:style w:type="paragraph" w:customStyle="1" w:styleId="Indent">
    <w:name w:val="Indent"/>
    <w:basedOn w:val="Normal"/>
    <w:uiPriority w:val="8"/>
    <w:qFormat/>
    <w:rsid w:val="00327493"/>
    <w:pPr>
      <w:ind w:left="720" w:hanging="720"/>
    </w:pPr>
  </w:style>
  <w:style w:type="paragraph" w:customStyle="1" w:styleId="UnNumberedHeading1">
    <w:name w:val="UnNumbered Heading 1"/>
    <w:basedOn w:val="Normal"/>
    <w:next w:val="Normal"/>
    <w:uiPriority w:val="8"/>
    <w:rsid w:val="00327493"/>
    <w:pPr>
      <w:jc w:val="center"/>
    </w:pPr>
    <w:rPr>
      <w:b/>
      <w:smallCaps/>
    </w:rPr>
  </w:style>
  <w:style w:type="character" w:customStyle="1" w:styleId="HeaderChar">
    <w:name w:val="Header Char"/>
    <w:basedOn w:val="DefaultParagraphFont"/>
    <w:link w:val="Header"/>
    <w:uiPriority w:val="99"/>
    <w:rsid w:val="008F76E3"/>
    <w:rPr>
      <w:rFonts w:asciiTheme="majorHAnsi" w:hAnsiTheme="majorHAnsi" w:cstheme="majorHAnsi"/>
      <w:noProof/>
      <w:color w:val="FEFEFE" w:themeColor="background1"/>
      <w:szCs w:val="21"/>
    </w:rPr>
  </w:style>
  <w:style w:type="paragraph" w:styleId="ListParagraph">
    <w:name w:val="List Paragraph"/>
    <w:basedOn w:val="Normal"/>
    <w:uiPriority w:val="42"/>
    <w:qFormat/>
    <w:rsid w:val="004D3959"/>
    <w:pPr>
      <w:numPr>
        <w:numId w:val="8"/>
      </w:numPr>
      <w:snapToGrid w:val="0"/>
      <w:spacing w:after="40" w:line="280" w:lineRule="exact"/>
    </w:pPr>
    <w:rPr>
      <w:bCs/>
      <w:color w:val="000000" w:themeColor="text1"/>
      <w:sz w:val="21"/>
      <w:szCs w:val="22"/>
    </w:rPr>
  </w:style>
  <w:style w:type="paragraph" w:styleId="BodyText">
    <w:name w:val="Body Text"/>
    <w:aliases w:val="Paragraphs"/>
    <w:basedOn w:val="Normal"/>
    <w:link w:val="BodyTextChar"/>
    <w:uiPriority w:val="8"/>
    <w:rsid w:val="004042D5"/>
  </w:style>
  <w:style w:type="character" w:customStyle="1" w:styleId="BodyTextChar">
    <w:name w:val="Body Text Char"/>
    <w:aliases w:val="Paragraphs Char"/>
    <w:basedOn w:val="DefaultParagraphFont"/>
    <w:link w:val="BodyText"/>
    <w:uiPriority w:val="8"/>
    <w:rsid w:val="004042D5"/>
    <w:rPr>
      <w:rFonts w:asciiTheme="minorHAnsi" w:hAnsiTheme="minorHAnsi" w:cstheme="minorHAnsi"/>
    </w:rPr>
  </w:style>
  <w:style w:type="paragraph" w:styleId="ListNumber">
    <w:name w:val="List Number"/>
    <w:basedOn w:val="Normal"/>
    <w:uiPriority w:val="8"/>
    <w:rsid w:val="00C410E7"/>
    <w:pPr>
      <w:numPr>
        <w:numId w:val="1"/>
      </w:numPr>
      <w:contextualSpacing/>
    </w:pPr>
  </w:style>
  <w:style w:type="character" w:customStyle="1" w:styleId="FooterChar">
    <w:name w:val="Footer Char"/>
    <w:basedOn w:val="DefaultParagraphFont"/>
    <w:link w:val="Footer"/>
    <w:uiPriority w:val="99"/>
    <w:rsid w:val="00686FCA"/>
    <w:rPr>
      <w:rFonts w:asciiTheme="minorHAnsi" w:hAnsiTheme="minorHAnsi" w:cstheme="minorHAnsi"/>
      <w:color w:val="004B97"/>
      <w:sz w:val="18"/>
    </w:rPr>
  </w:style>
  <w:style w:type="paragraph" w:styleId="BalloonText">
    <w:name w:val="Balloon Text"/>
    <w:basedOn w:val="Normal"/>
    <w:link w:val="BalloonTextChar"/>
    <w:uiPriority w:val="8"/>
    <w:rsid w:val="00C47F6C"/>
    <w:rPr>
      <w:rFonts w:ascii="Tahoma" w:hAnsi="Tahoma" w:cs="Tahoma"/>
      <w:sz w:val="16"/>
      <w:szCs w:val="16"/>
    </w:rPr>
  </w:style>
  <w:style w:type="character" w:customStyle="1" w:styleId="BalloonTextChar">
    <w:name w:val="Balloon Text Char"/>
    <w:basedOn w:val="DefaultParagraphFont"/>
    <w:link w:val="BalloonText"/>
    <w:uiPriority w:val="8"/>
    <w:rsid w:val="00C47F6C"/>
    <w:rPr>
      <w:rFonts w:ascii="Tahoma" w:hAnsi="Tahoma" w:cs="Tahoma"/>
      <w:sz w:val="16"/>
      <w:szCs w:val="16"/>
    </w:rPr>
  </w:style>
  <w:style w:type="paragraph" w:styleId="HTMLPreformatted">
    <w:name w:val="HTML Preformatted"/>
    <w:basedOn w:val="Normal"/>
    <w:link w:val="HTMLPreformattedChar"/>
    <w:uiPriority w:val="99"/>
    <w:unhideWhenUsed/>
    <w:rsid w:val="0061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615129"/>
    <w:rPr>
      <w:rFonts w:ascii="Courier New" w:eastAsia="Times New Roman" w:hAnsi="Courier New" w:cs="Courier New"/>
    </w:rPr>
  </w:style>
  <w:style w:type="character" w:styleId="PageNumber">
    <w:name w:val="page number"/>
    <w:basedOn w:val="DefaultParagraphFont"/>
    <w:uiPriority w:val="8"/>
    <w:rsid w:val="00A67F19"/>
  </w:style>
  <w:style w:type="table" w:styleId="TableGrid">
    <w:name w:val="Table Grid"/>
    <w:basedOn w:val="TableNormal"/>
    <w:rsid w:val="00C70D0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86FCA"/>
    <w:rPr>
      <w:rFonts w:ascii="Arial" w:hAnsi="Arial" w:cs="Arial"/>
      <w:b w:val="0"/>
      <w:i w:val="0"/>
      <w:strike w:val="0"/>
      <w:dstrike w:val="0"/>
      <w:color w:val="009CDE"/>
      <w:szCs w:val="17"/>
      <w:u w:val="single"/>
      <w:effect w:val="none"/>
    </w:rPr>
  </w:style>
  <w:style w:type="character" w:styleId="FollowedHyperlink">
    <w:name w:val="FollowedHyperlink"/>
    <w:basedOn w:val="DefaultParagraphFont"/>
    <w:uiPriority w:val="8"/>
    <w:semiHidden/>
    <w:unhideWhenUsed/>
    <w:rsid w:val="00686FCA"/>
    <w:rPr>
      <w:color w:val="004B97"/>
      <w:u w:val="single"/>
    </w:rPr>
  </w:style>
  <w:style w:type="character" w:customStyle="1" w:styleId="FooterIMF">
    <w:name w:val="Footer (IMF)"/>
    <w:basedOn w:val="DefaultParagraphFont"/>
    <w:uiPriority w:val="1"/>
    <w:qFormat/>
    <w:rsid w:val="001F521F"/>
    <w:rPr>
      <w:rFonts w:ascii="Arial Black" w:hAnsi="Arial Black"/>
      <w:b/>
    </w:rPr>
  </w:style>
  <w:style w:type="character" w:styleId="CommentReference">
    <w:name w:val="annotation reference"/>
    <w:basedOn w:val="DefaultParagraphFont"/>
    <w:uiPriority w:val="8"/>
    <w:semiHidden/>
    <w:unhideWhenUsed/>
    <w:rsid w:val="00E320DD"/>
    <w:rPr>
      <w:sz w:val="16"/>
      <w:szCs w:val="16"/>
    </w:rPr>
  </w:style>
  <w:style w:type="character" w:styleId="UnresolvedMention">
    <w:name w:val="Unresolved Mention"/>
    <w:basedOn w:val="DefaultParagraphFont"/>
    <w:uiPriority w:val="99"/>
    <w:semiHidden/>
    <w:unhideWhenUsed/>
    <w:rsid w:val="00965344"/>
    <w:rPr>
      <w:color w:val="808080"/>
      <w:shd w:val="clear" w:color="auto" w:fill="E6E6E6"/>
    </w:rPr>
  </w:style>
  <w:style w:type="character" w:styleId="Strong">
    <w:name w:val="Strong"/>
    <w:basedOn w:val="DefaultParagraphFont"/>
    <w:uiPriority w:val="22"/>
    <w:qFormat/>
    <w:rsid w:val="0062358B"/>
    <w:rPr>
      <w:b/>
      <w:bCs/>
    </w:rPr>
  </w:style>
  <w:style w:type="character" w:customStyle="1" w:styleId="Back-to-Top">
    <w:name w:val="Back-to-Top"/>
    <w:basedOn w:val="DefaultParagraphFont"/>
    <w:uiPriority w:val="1"/>
    <w:qFormat/>
    <w:rsid w:val="00686FCA"/>
    <w:rPr>
      <w:rFonts w:asciiTheme="minorHAnsi" w:hAnsiTheme="minorHAnsi" w:cs="Arial (Body)"/>
      <w:b w:val="0"/>
      <w:bCs/>
      <w:i w:val="0"/>
      <w:color w:val="009CDE"/>
      <w:sz w:val="15"/>
      <w:szCs w:val="16"/>
      <w:u w:val="single"/>
    </w:rPr>
  </w:style>
  <w:style w:type="paragraph" w:customStyle="1" w:styleId="LinksBar">
    <w:name w:val="Links Bar"/>
    <w:basedOn w:val="ListBullet"/>
    <w:qFormat/>
    <w:rsid w:val="00686FCA"/>
    <w:pPr>
      <w:keepNext/>
      <w:numPr>
        <w:numId w:val="0"/>
      </w:numPr>
      <w:adjustRightInd w:val="0"/>
      <w:snapToGrid w:val="0"/>
      <w:spacing w:before="240" w:after="480" w:line="264" w:lineRule="auto"/>
      <w:contextualSpacing/>
    </w:pPr>
    <w:rPr>
      <w:bCs/>
      <w:color w:val="004B97"/>
      <w:sz w:val="22"/>
    </w:rPr>
  </w:style>
  <w:style w:type="paragraph" w:customStyle="1" w:styleId="Title2-Country">
    <w:name w:val="Title2-Country"/>
    <w:basedOn w:val="Normal"/>
    <w:uiPriority w:val="99"/>
    <w:qFormat/>
    <w:rsid w:val="006D20A0"/>
    <w:pPr>
      <w:keepNext/>
      <w:spacing w:after="40" w:line="264" w:lineRule="auto"/>
    </w:pPr>
    <w:rPr>
      <w:b/>
      <w:bCs/>
      <w:noProof/>
      <w:color w:val="000000" w:themeColor="text1"/>
      <w:lang w:eastAsia="zh-CN"/>
    </w:rPr>
  </w:style>
  <w:style w:type="paragraph" w:customStyle="1" w:styleId="SPEAKER">
    <w:name w:val="SPEAKER"/>
    <w:basedOn w:val="Normal"/>
    <w:rsid w:val="00A739A7"/>
  </w:style>
  <w:style w:type="paragraph" w:customStyle="1" w:styleId="ContributorName">
    <w:name w:val="Contributor Name"/>
    <w:basedOn w:val="BodyText"/>
    <w:qFormat/>
    <w:rsid w:val="00686FCA"/>
    <w:pPr>
      <w:spacing w:before="80" w:after="0" w:line="264" w:lineRule="auto"/>
      <w:jc w:val="left"/>
    </w:pPr>
    <w:rPr>
      <w:rFonts w:eastAsia="Times New Roman"/>
      <w:b/>
      <w:color w:val="000000" w:themeColor="text1"/>
      <w:sz w:val="18"/>
      <w:szCs w:val="18"/>
    </w:rPr>
  </w:style>
  <w:style w:type="paragraph" w:customStyle="1" w:styleId="ContributorTitle">
    <w:name w:val="Contributor Title"/>
    <w:basedOn w:val="ContributorName"/>
    <w:qFormat/>
    <w:rsid w:val="00686FCA"/>
    <w:pPr>
      <w:spacing w:before="0" w:after="80"/>
    </w:pPr>
    <w:rPr>
      <w:b w:val="0"/>
      <w:i/>
      <w:lang w:val="es-CO"/>
    </w:rPr>
  </w:style>
  <w:style w:type="character" w:customStyle="1" w:styleId="InternalNotation">
    <w:name w:val="Internal Notation"/>
    <w:uiPriority w:val="1"/>
    <w:qFormat/>
    <w:rsid w:val="00CB3CBA"/>
    <w:rPr>
      <w:rFonts w:asciiTheme="minorHAnsi" w:hAnsiTheme="minorHAnsi" w:cstheme="minorHAnsi"/>
      <w:i/>
      <w:noProof/>
      <w:color w:val="DA281C" w:themeColor="accent4"/>
      <w:sz w:val="18"/>
      <w:szCs w:val="20"/>
    </w:rPr>
  </w:style>
  <w:style w:type="paragraph" w:customStyle="1" w:styleId="ContributorsHeader">
    <w:name w:val="Contributors Header"/>
    <w:basedOn w:val="Heading2"/>
    <w:qFormat/>
    <w:rsid w:val="00686FCA"/>
    <w:pPr>
      <w:spacing w:before="240" w:after="0"/>
    </w:pPr>
  </w:style>
  <w:style w:type="paragraph" w:customStyle="1" w:styleId="ContributorsDisclaimer">
    <w:name w:val="Contributors Disclaimer"/>
    <w:basedOn w:val="Footer"/>
    <w:qFormat/>
    <w:rsid w:val="00686FCA"/>
    <w:pPr>
      <w:spacing w:before="120"/>
    </w:pPr>
    <w:rPr>
      <w:sz w:val="15"/>
    </w:rPr>
  </w:style>
  <w:style w:type="paragraph" w:styleId="BodyTextIndent3">
    <w:name w:val="Body Text Indent 3"/>
    <w:basedOn w:val="Normal"/>
    <w:link w:val="BodyTextIndent3Char"/>
    <w:uiPriority w:val="8"/>
    <w:unhideWhenUsed/>
    <w:rsid w:val="00090FAA"/>
    <w:pPr>
      <w:spacing w:after="120"/>
      <w:ind w:left="360"/>
    </w:pPr>
    <w:rPr>
      <w:sz w:val="16"/>
      <w:szCs w:val="16"/>
    </w:rPr>
  </w:style>
  <w:style w:type="character" w:customStyle="1" w:styleId="BodyTextIndent3Char">
    <w:name w:val="Body Text Indent 3 Char"/>
    <w:basedOn w:val="DefaultParagraphFont"/>
    <w:link w:val="BodyTextIndent3"/>
    <w:uiPriority w:val="8"/>
    <w:rsid w:val="00090FAA"/>
    <w:rPr>
      <w:rFonts w:ascii="Segoe UI" w:hAnsi="Segoe UI"/>
      <w:sz w:val="16"/>
      <w:szCs w:val="16"/>
    </w:rPr>
  </w:style>
  <w:style w:type="paragraph" w:customStyle="1" w:styleId="ContributorsSubheaderGMM-MCM">
    <w:name w:val="Contributors Subheader GMM-MCM"/>
    <w:basedOn w:val="BodyText"/>
    <w:qFormat/>
    <w:rsid w:val="00686FCA"/>
    <w:pPr>
      <w:spacing w:after="120"/>
      <w:jc w:val="center"/>
    </w:pPr>
    <w:rPr>
      <w:i/>
      <w:color w:val="004B97"/>
    </w:rPr>
  </w:style>
  <w:style w:type="paragraph" w:customStyle="1" w:styleId="CenteredJump">
    <w:name w:val="Centered Jump"/>
    <w:basedOn w:val="BodyText"/>
    <w:qFormat/>
    <w:rsid w:val="00686FCA"/>
    <w:pPr>
      <w:jc w:val="center"/>
    </w:pPr>
    <w:rPr>
      <w:color w:val="000000" w:themeColor="text1"/>
    </w:rPr>
  </w:style>
  <w:style w:type="paragraph" w:styleId="CommentText">
    <w:name w:val="annotation text"/>
    <w:basedOn w:val="Normal"/>
    <w:link w:val="CommentTextChar"/>
    <w:uiPriority w:val="8"/>
    <w:semiHidden/>
    <w:unhideWhenUsed/>
    <w:rsid w:val="00E320DD"/>
    <w:pPr>
      <w:spacing w:line="240" w:lineRule="auto"/>
    </w:pPr>
  </w:style>
  <w:style w:type="paragraph" w:customStyle="1" w:styleId="Title1-SectionWPageBreak">
    <w:name w:val="Title1-Section W/PageBreak"/>
    <w:basedOn w:val="Title1-Section"/>
    <w:qFormat/>
    <w:rsid w:val="00686FCA"/>
    <w:pPr>
      <w:pageBreakBefore/>
    </w:pPr>
  </w:style>
  <w:style w:type="paragraph" w:customStyle="1" w:styleId="Normal-KeepTogether">
    <w:name w:val="Normal-KeepTogether"/>
    <w:basedOn w:val="Normal"/>
    <w:qFormat/>
    <w:rsid w:val="000F78A7"/>
    <w:pPr>
      <w:keepLines/>
    </w:pPr>
  </w:style>
  <w:style w:type="character" w:customStyle="1" w:styleId="CommentTextChar">
    <w:name w:val="Comment Text Char"/>
    <w:basedOn w:val="DefaultParagraphFont"/>
    <w:link w:val="CommentText"/>
    <w:uiPriority w:val="8"/>
    <w:semiHidden/>
    <w:rsid w:val="00E320DD"/>
    <w:rPr>
      <w:rFonts w:asciiTheme="minorHAnsi" w:hAnsiTheme="minorHAnsi" w:cstheme="minorHAnsi"/>
    </w:rPr>
  </w:style>
  <w:style w:type="paragraph" w:styleId="CommentSubject">
    <w:name w:val="annotation subject"/>
    <w:basedOn w:val="CommentText"/>
    <w:next w:val="CommentText"/>
    <w:link w:val="CommentSubjectChar"/>
    <w:uiPriority w:val="8"/>
    <w:semiHidden/>
    <w:unhideWhenUsed/>
    <w:rsid w:val="00E320DD"/>
    <w:rPr>
      <w:b/>
      <w:bCs/>
    </w:rPr>
  </w:style>
  <w:style w:type="paragraph" w:customStyle="1" w:styleId="BannerDate">
    <w:name w:val="Banner Date"/>
    <w:basedOn w:val="Normal"/>
    <w:qFormat/>
    <w:rsid w:val="00620F01"/>
    <w:pPr>
      <w:spacing w:after="520"/>
      <w:jc w:val="center"/>
    </w:pPr>
    <w:rPr>
      <w:rFonts w:cs="Arial (Body)"/>
      <w:b/>
      <w:caps/>
      <w:noProof/>
      <w:color w:val="FEFEFE" w:themeColor="background1"/>
      <w:sz w:val="28"/>
      <w:szCs w:val="30"/>
    </w:rPr>
  </w:style>
  <w:style w:type="character" w:styleId="IntenseEmphasis">
    <w:name w:val="Intense Emphasis"/>
    <w:uiPriority w:val="29"/>
    <w:rsid w:val="00BB28C1"/>
    <w:rPr>
      <w:rFonts w:ascii="Arial Black" w:hAnsi="Arial Black"/>
    </w:rPr>
  </w:style>
  <w:style w:type="paragraph" w:customStyle="1" w:styleId="Title1-Section">
    <w:name w:val="Title1-Section"/>
    <w:basedOn w:val="Heading1"/>
    <w:next w:val="Paragraph"/>
    <w:qFormat/>
    <w:rsid w:val="0038695A"/>
    <w:pPr>
      <w:tabs>
        <w:tab w:val="clear" w:pos="9360"/>
      </w:tabs>
      <w:spacing w:after="0"/>
      <w:jc w:val="left"/>
    </w:pPr>
    <w:rPr>
      <w:color w:val="004B97"/>
      <w:sz w:val="24"/>
      <w:szCs w:val="36"/>
    </w:rPr>
  </w:style>
  <w:style w:type="paragraph" w:customStyle="1" w:styleId="Title3-TableWPageBreak">
    <w:name w:val="Title3-Table W/PageBreak"/>
    <w:basedOn w:val="Heading2"/>
    <w:qFormat/>
    <w:rsid w:val="00686FCA"/>
  </w:style>
  <w:style w:type="paragraph" w:customStyle="1" w:styleId="Paragraph">
    <w:name w:val="Paragraph"/>
    <w:basedOn w:val="BodyText"/>
    <w:qFormat/>
    <w:rsid w:val="000F78A7"/>
  </w:style>
  <w:style w:type="paragraph" w:customStyle="1" w:styleId="BannerDateNon-Cover">
    <w:name w:val="Banner Date Non-Cover"/>
    <w:basedOn w:val="Normal"/>
    <w:qFormat/>
    <w:rsid w:val="00847B02"/>
    <w:pPr>
      <w:snapToGrid w:val="0"/>
      <w:spacing w:line="264" w:lineRule="auto"/>
      <w:jc w:val="right"/>
    </w:pPr>
    <w:rPr>
      <w:rFonts w:ascii="Arial Black" w:hAnsi="Arial Black" w:cs="Arial (Body)"/>
      <w:color w:val="FEFEFE" w:themeColor="background1"/>
      <w:szCs w:val="23"/>
    </w:rPr>
  </w:style>
  <w:style w:type="character" w:customStyle="1" w:styleId="CommentSubjectChar">
    <w:name w:val="Comment Subject Char"/>
    <w:basedOn w:val="CommentTextChar"/>
    <w:link w:val="CommentSubject"/>
    <w:uiPriority w:val="8"/>
    <w:semiHidden/>
    <w:rsid w:val="00E320DD"/>
    <w:rPr>
      <w:rFonts w:asciiTheme="minorHAnsi" w:hAnsiTheme="minorHAnsi" w:cstheme="minorHAnsi"/>
      <w:b/>
      <w:bCs/>
    </w:rPr>
  </w:style>
  <w:style w:type="character" w:styleId="IntenseReference">
    <w:name w:val="Intense Reference"/>
    <w:basedOn w:val="DefaultParagraphFont"/>
    <w:uiPriority w:val="40"/>
    <w:rsid w:val="00686FCA"/>
    <w:rPr>
      <w:b/>
      <w:bCs/>
      <w:smallCaps/>
      <w:color w:val="009CDE"/>
      <w:spacing w:val="5"/>
    </w:rPr>
  </w:style>
  <w:style w:type="paragraph" w:styleId="TOCHeading">
    <w:name w:val="TOC Heading"/>
    <w:basedOn w:val="Heading1"/>
    <w:next w:val="Normal"/>
    <w:uiPriority w:val="47"/>
    <w:semiHidden/>
    <w:unhideWhenUsed/>
    <w:qFormat/>
    <w:rsid w:val="00686FCA"/>
    <w:pPr>
      <w:tabs>
        <w:tab w:val="clear" w:pos="9360"/>
      </w:tabs>
      <w:spacing w:before="240" w:after="0" w:line="276" w:lineRule="auto"/>
      <w:outlineLvl w:val="9"/>
    </w:pPr>
    <w:rPr>
      <w:rFonts w:asciiTheme="majorHAnsi" w:eastAsiaTheme="majorEastAsia" w:hAnsiTheme="majorHAnsi" w:cstheme="majorBidi"/>
      <w:b w:val="0"/>
      <w:bCs w:val="0"/>
      <w:sz w:val="32"/>
      <w:szCs w:val="32"/>
    </w:rPr>
  </w:style>
  <w:style w:type="paragraph" w:styleId="IntenseQuote">
    <w:name w:val="Intense Quote"/>
    <w:basedOn w:val="Normal"/>
    <w:next w:val="Normal"/>
    <w:link w:val="IntenseQuoteChar"/>
    <w:uiPriority w:val="38"/>
    <w:rsid w:val="00686FCA"/>
    <w:pPr>
      <w:pBdr>
        <w:top w:val="single" w:sz="4" w:space="10" w:color="009CDE" w:themeColor="accent1"/>
        <w:bottom w:val="single" w:sz="4" w:space="10" w:color="009CDE" w:themeColor="accent1"/>
      </w:pBdr>
      <w:spacing w:before="360" w:after="360"/>
      <w:ind w:left="864" w:right="864"/>
      <w:jc w:val="center"/>
    </w:pPr>
    <w:rPr>
      <w:i/>
      <w:iCs/>
      <w:color w:val="009CDE"/>
    </w:rPr>
  </w:style>
  <w:style w:type="character" w:customStyle="1" w:styleId="IntenseQuoteChar">
    <w:name w:val="Intense Quote Char"/>
    <w:basedOn w:val="DefaultParagraphFont"/>
    <w:link w:val="IntenseQuote"/>
    <w:uiPriority w:val="38"/>
    <w:rsid w:val="00686FCA"/>
    <w:rPr>
      <w:rFonts w:asciiTheme="minorHAnsi" w:hAnsiTheme="minorHAnsi" w:cstheme="minorHAnsi"/>
      <w:i/>
      <w:iCs/>
      <w:color w:val="009CDE"/>
    </w:rPr>
  </w:style>
  <w:style w:type="paragraph" w:styleId="Caption">
    <w:name w:val="caption"/>
    <w:basedOn w:val="Normal"/>
    <w:next w:val="Normal"/>
    <w:uiPriority w:val="8"/>
    <w:semiHidden/>
    <w:unhideWhenUsed/>
    <w:qFormat/>
    <w:rsid w:val="00686FCA"/>
    <w:pPr>
      <w:spacing w:before="0" w:after="200" w:line="240" w:lineRule="auto"/>
    </w:pPr>
    <w:rPr>
      <w:i/>
      <w:iCs/>
      <w:color w:val="004B97"/>
      <w:sz w:val="18"/>
      <w:szCs w:val="18"/>
    </w:rPr>
  </w:style>
  <w:style w:type="paragraph" w:styleId="BlockText">
    <w:name w:val="Block Text"/>
    <w:basedOn w:val="Normal"/>
    <w:uiPriority w:val="8"/>
    <w:semiHidden/>
    <w:unhideWhenUsed/>
    <w:rsid w:val="00686FCA"/>
    <w:pPr>
      <w:pBdr>
        <w:top w:val="single" w:sz="2" w:space="10" w:color="009CDE" w:themeColor="accent1"/>
        <w:left w:val="single" w:sz="2" w:space="10" w:color="009CDE" w:themeColor="accent1"/>
        <w:bottom w:val="single" w:sz="2" w:space="10" w:color="009CDE" w:themeColor="accent1"/>
        <w:right w:val="single" w:sz="2" w:space="10" w:color="009CDE" w:themeColor="accent1"/>
      </w:pBdr>
      <w:ind w:left="1152" w:right="1152"/>
    </w:pPr>
    <w:rPr>
      <w:rFonts w:eastAsiaTheme="minorEastAsia" w:cstheme="minorBidi"/>
      <w:i/>
      <w:iCs/>
      <w:color w:val="009CDE"/>
    </w:rPr>
  </w:style>
  <w:style w:type="paragraph" w:customStyle="1" w:styleId="Default">
    <w:name w:val="Default"/>
    <w:basedOn w:val="Normal"/>
    <w:rsid w:val="0057419D"/>
    <w:pPr>
      <w:autoSpaceDE w:val="0"/>
      <w:autoSpaceDN w:val="0"/>
      <w:spacing w:before="0" w:after="0" w:line="240" w:lineRule="auto"/>
      <w:jc w:val="left"/>
    </w:pPr>
    <w:rPr>
      <w:rFonts w:ascii="Arial" w:hAnsi="Arial" w:cs="Arial"/>
      <w:color w:val="000000"/>
      <w:sz w:val="24"/>
      <w:szCs w:val="24"/>
    </w:rPr>
  </w:style>
  <w:style w:type="paragraph" w:styleId="NormalWeb">
    <w:name w:val="Normal (Web)"/>
    <w:basedOn w:val="Normal"/>
    <w:uiPriority w:val="99"/>
    <w:unhideWhenUsed/>
    <w:rsid w:val="005B5C7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trongDKB">
    <w:name w:val="Strong DKB"/>
    <w:uiPriority w:val="2"/>
    <w:qFormat/>
    <w:rsid w:val="00385A25"/>
    <w:rPr>
      <w:rFonts w:ascii="Arial Black" w:hAnsi="Arial Black"/>
      <w:b w:val="0"/>
      <w:bCs/>
      <w:i w:val="0"/>
      <w:color w:val="004C97" w:themeColor="text2"/>
    </w:rPr>
  </w:style>
  <w:style w:type="character" w:customStyle="1" w:styleId="ui-provider">
    <w:name w:val="ui-provider"/>
    <w:basedOn w:val="DefaultParagraphFont"/>
    <w:rsid w:val="00501796"/>
  </w:style>
  <w:style w:type="table" w:customStyle="1" w:styleId="TableGrid1">
    <w:name w:val="Table Grid1"/>
    <w:basedOn w:val="TableNormal"/>
    <w:next w:val="TableGrid"/>
    <w:uiPriority w:val="39"/>
    <w:rsid w:val="001608E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3025">
      <w:bodyDiv w:val="1"/>
      <w:marLeft w:val="0"/>
      <w:marRight w:val="0"/>
      <w:marTop w:val="0"/>
      <w:marBottom w:val="0"/>
      <w:divBdr>
        <w:top w:val="none" w:sz="0" w:space="0" w:color="auto"/>
        <w:left w:val="none" w:sz="0" w:space="0" w:color="auto"/>
        <w:bottom w:val="none" w:sz="0" w:space="0" w:color="auto"/>
        <w:right w:val="none" w:sz="0" w:space="0" w:color="auto"/>
      </w:divBdr>
    </w:div>
    <w:div w:id="192615869">
      <w:bodyDiv w:val="1"/>
      <w:marLeft w:val="0"/>
      <w:marRight w:val="0"/>
      <w:marTop w:val="0"/>
      <w:marBottom w:val="0"/>
      <w:divBdr>
        <w:top w:val="none" w:sz="0" w:space="0" w:color="auto"/>
        <w:left w:val="none" w:sz="0" w:space="0" w:color="auto"/>
        <w:bottom w:val="none" w:sz="0" w:space="0" w:color="auto"/>
        <w:right w:val="none" w:sz="0" w:space="0" w:color="auto"/>
      </w:divBdr>
    </w:div>
    <w:div w:id="210652151">
      <w:bodyDiv w:val="1"/>
      <w:marLeft w:val="0"/>
      <w:marRight w:val="0"/>
      <w:marTop w:val="0"/>
      <w:marBottom w:val="0"/>
      <w:divBdr>
        <w:top w:val="none" w:sz="0" w:space="0" w:color="auto"/>
        <w:left w:val="none" w:sz="0" w:space="0" w:color="auto"/>
        <w:bottom w:val="none" w:sz="0" w:space="0" w:color="auto"/>
        <w:right w:val="none" w:sz="0" w:space="0" w:color="auto"/>
      </w:divBdr>
    </w:div>
    <w:div w:id="420882241">
      <w:bodyDiv w:val="1"/>
      <w:marLeft w:val="0"/>
      <w:marRight w:val="0"/>
      <w:marTop w:val="0"/>
      <w:marBottom w:val="0"/>
      <w:divBdr>
        <w:top w:val="none" w:sz="0" w:space="0" w:color="auto"/>
        <w:left w:val="none" w:sz="0" w:space="0" w:color="auto"/>
        <w:bottom w:val="none" w:sz="0" w:space="0" w:color="auto"/>
        <w:right w:val="none" w:sz="0" w:space="0" w:color="auto"/>
      </w:divBdr>
    </w:div>
    <w:div w:id="536311003">
      <w:bodyDiv w:val="1"/>
      <w:marLeft w:val="0"/>
      <w:marRight w:val="0"/>
      <w:marTop w:val="0"/>
      <w:marBottom w:val="0"/>
      <w:divBdr>
        <w:top w:val="none" w:sz="0" w:space="0" w:color="auto"/>
        <w:left w:val="none" w:sz="0" w:space="0" w:color="auto"/>
        <w:bottom w:val="none" w:sz="0" w:space="0" w:color="auto"/>
        <w:right w:val="none" w:sz="0" w:space="0" w:color="auto"/>
      </w:divBdr>
    </w:div>
    <w:div w:id="564069211">
      <w:bodyDiv w:val="1"/>
      <w:marLeft w:val="0"/>
      <w:marRight w:val="0"/>
      <w:marTop w:val="0"/>
      <w:marBottom w:val="0"/>
      <w:divBdr>
        <w:top w:val="none" w:sz="0" w:space="0" w:color="auto"/>
        <w:left w:val="none" w:sz="0" w:space="0" w:color="auto"/>
        <w:bottom w:val="none" w:sz="0" w:space="0" w:color="auto"/>
        <w:right w:val="none" w:sz="0" w:space="0" w:color="auto"/>
      </w:divBdr>
    </w:div>
    <w:div w:id="566258398">
      <w:bodyDiv w:val="1"/>
      <w:marLeft w:val="0"/>
      <w:marRight w:val="0"/>
      <w:marTop w:val="0"/>
      <w:marBottom w:val="0"/>
      <w:divBdr>
        <w:top w:val="none" w:sz="0" w:space="0" w:color="auto"/>
        <w:left w:val="none" w:sz="0" w:space="0" w:color="auto"/>
        <w:bottom w:val="none" w:sz="0" w:space="0" w:color="auto"/>
        <w:right w:val="none" w:sz="0" w:space="0" w:color="auto"/>
      </w:divBdr>
    </w:div>
    <w:div w:id="600845117">
      <w:bodyDiv w:val="1"/>
      <w:marLeft w:val="0"/>
      <w:marRight w:val="0"/>
      <w:marTop w:val="0"/>
      <w:marBottom w:val="0"/>
      <w:divBdr>
        <w:top w:val="none" w:sz="0" w:space="0" w:color="auto"/>
        <w:left w:val="none" w:sz="0" w:space="0" w:color="auto"/>
        <w:bottom w:val="none" w:sz="0" w:space="0" w:color="auto"/>
        <w:right w:val="none" w:sz="0" w:space="0" w:color="auto"/>
      </w:divBdr>
    </w:div>
    <w:div w:id="804544374">
      <w:bodyDiv w:val="1"/>
      <w:marLeft w:val="0"/>
      <w:marRight w:val="0"/>
      <w:marTop w:val="0"/>
      <w:marBottom w:val="0"/>
      <w:divBdr>
        <w:top w:val="none" w:sz="0" w:space="0" w:color="auto"/>
        <w:left w:val="none" w:sz="0" w:space="0" w:color="auto"/>
        <w:bottom w:val="none" w:sz="0" w:space="0" w:color="auto"/>
        <w:right w:val="none" w:sz="0" w:space="0" w:color="auto"/>
      </w:divBdr>
    </w:div>
    <w:div w:id="1120106128">
      <w:bodyDiv w:val="1"/>
      <w:marLeft w:val="0"/>
      <w:marRight w:val="0"/>
      <w:marTop w:val="0"/>
      <w:marBottom w:val="0"/>
      <w:divBdr>
        <w:top w:val="none" w:sz="0" w:space="0" w:color="auto"/>
        <w:left w:val="none" w:sz="0" w:space="0" w:color="auto"/>
        <w:bottom w:val="none" w:sz="0" w:space="0" w:color="auto"/>
        <w:right w:val="none" w:sz="0" w:space="0" w:color="auto"/>
      </w:divBdr>
    </w:div>
    <w:div w:id="1225526539">
      <w:bodyDiv w:val="1"/>
      <w:marLeft w:val="0"/>
      <w:marRight w:val="0"/>
      <w:marTop w:val="0"/>
      <w:marBottom w:val="0"/>
      <w:divBdr>
        <w:top w:val="none" w:sz="0" w:space="0" w:color="auto"/>
        <w:left w:val="none" w:sz="0" w:space="0" w:color="auto"/>
        <w:bottom w:val="none" w:sz="0" w:space="0" w:color="auto"/>
        <w:right w:val="none" w:sz="0" w:space="0" w:color="auto"/>
      </w:divBdr>
    </w:div>
    <w:div w:id="1308513012">
      <w:bodyDiv w:val="1"/>
      <w:marLeft w:val="0"/>
      <w:marRight w:val="0"/>
      <w:marTop w:val="0"/>
      <w:marBottom w:val="0"/>
      <w:divBdr>
        <w:top w:val="none" w:sz="0" w:space="0" w:color="auto"/>
        <w:left w:val="none" w:sz="0" w:space="0" w:color="auto"/>
        <w:bottom w:val="none" w:sz="0" w:space="0" w:color="auto"/>
        <w:right w:val="none" w:sz="0" w:space="0" w:color="auto"/>
      </w:divBdr>
      <w:divsChild>
        <w:div w:id="1114784656">
          <w:marLeft w:val="0"/>
          <w:marRight w:val="0"/>
          <w:marTop w:val="0"/>
          <w:marBottom w:val="0"/>
          <w:divBdr>
            <w:top w:val="single" w:sz="2" w:space="0" w:color="E3E3E3"/>
            <w:left w:val="single" w:sz="2" w:space="0" w:color="E3E3E3"/>
            <w:bottom w:val="single" w:sz="2" w:space="0" w:color="E3E3E3"/>
            <w:right w:val="single" w:sz="2" w:space="0" w:color="E3E3E3"/>
          </w:divBdr>
          <w:divsChild>
            <w:div w:id="296304479">
              <w:marLeft w:val="0"/>
              <w:marRight w:val="0"/>
              <w:marTop w:val="0"/>
              <w:marBottom w:val="0"/>
              <w:divBdr>
                <w:top w:val="single" w:sz="2" w:space="0" w:color="E3E3E3"/>
                <w:left w:val="single" w:sz="2" w:space="0" w:color="E3E3E3"/>
                <w:bottom w:val="single" w:sz="2" w:space="0" w:color="E3E3E3"/>
                <w:right w:val="single" w:sz="2" w:space="0" w:color="E3E3E3"/>
              </w:divBdr>
              <w:divsChild>
                <w:div w:id="611208551">
                  <w:marLeft w:val="0"/>
                  <w:marRight w:val="0"/>
                  <w:marTop w:val="0"/>
                  <w:marBottom w:val="0"/>
                  <w:divBdr>
                    <w:top w:val="single" w:sz="2" w:space="0" w:color="E3E3E3"/>
                    <w:left w:val="single" w:sz="2" w:space="0" w:color="E3E3E3"/>
                    <w:bottom w:val="single" w:sz="2" w:space="0" w:color="E3E3E3"/>
                    <w:right w:val="single" w:sz="2" w:space="0" w:color="E3E3E3"/>
                  </w:divBdr>
                  <w:divsChild>
                    <w:div w:id="2081369355">
                      <w:marLeft w:val="0"/>
                      <w:marRight w:val="0"/>
                      <w:marTop w:val="0"/>
                      <w:marBottom w:val="0"/>
                      <w:divBdr>
                        <w:top w:val="single" w:sz="2" w:space="0" w:color="E3E3E3"/>
                        <w:left w:val="single" w:sz="2" w:space="0" w:color="E3E3E3"/>
                        <w:bottom w:val="single" w:sz="2" w:space="0" w:color="E3E3E3"/>
                        <w:right w:val="single" w:sz="2" w:space="0" w:color="E3E3E3"/>
                      </w:divBdr>
                      <w:divsChild>
                        <w:div w:id="1913811596">
                          <w:marLeft w:val="0"/>
                          <w:marRight w:val="0"/>
                          <w:marTop w:val="0"/>
                          <w:marBottom w:val="0"/>
                          <w:divBdr>
                            <w:top w:val="single" w:sz="2" w:space="0" w:color="E3E3E3"/>
                            <w:left w:val="single" w:sz="2" w:space="0" w:color="E3E3E3"/>
                            <w:bottom w:val="single" w:sz="2" w:space="0" w:color="E3E3E3"/>
                            <w:right w:val="single" w:sz="2" w:space="0" w:color="E3E3E3"/>
                          </w:divBdr>
                          <w:divsChild>
                            <w:div w:id="118761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72594837">
                                  <w:marLeft w:val="0"/>
                                  <w:marRight w:val="0"/>
                                  <w:marTop w:val="0"/>
                                  <w:marBottom w:val="0"/>
                                  <w:divBdr>
                                    <w:top w:val="single" w:sz="2" w:space="0" w:color="E3E3E3"/>
                                    <w:left w:val="single" w:sz="2" w:space="0" w:color="E3E3E3"/>
                                    <w:bottom w:val="single" w:sz="2" w:space="0" w:color="E3E3E3"/>
                                    <w:right w:val="single" w:sz="2" w:space="0" w:color="E3E3E3"/>
                                  </w:divBdr>
                                  <w:divsChild>
                                    <w:div w:id="731738509">
                                      <w:marLeft w:val="0"/>
                                      <w:marRight w:val="0"/>
                                      <w:marTop w:val="0"/>
                                      <w:marBottom w:val="0"/>
                                      <w:divBdr>
                                        <w:top w:val="single" w:sz="2" w:space="0" w:color="E3E3E3"/>
                                        <w:left w:val="single" w:sz="2" w:space="0" w:color="E3E3E3"/>
                                        <w:bottom w:val="single" w:sz="2" w:space="0" w:color="E3E3E3"/>
                                        <w:right w:val="single" w:sz="2" w:space="0" w:color="E3E3E3"/>
                                      </w:divBdr>
                                      <w:divsChild>
                                        <w:div w:id="1778677446">
                                          <w:marLeft w:val="0"/>
                                          <w:marRight w:val="0"/>
                                          <w:marTop w:val="0"/>
                                          <w:marBottom w:val="0"/>
                                          <w:divBdr>
                                            <w:top w:val="single" w:sz="2" w:space="0" w:color="E3E3E3"/>
                                            <w:left w:val="single" w:sz="2" w:space="0" w:color="E3E3E3"/>
                                            <w:bottom w:val="single" w:sz="2" w:space="0" w:color="E3E3E3"/>
                                            <w:right w:val="single" w:sz="2" w:space="0" w:color="E3E3E3"/>
                                          </w:divBdr>
                                          <w:divsChild>
                                            <w:div w:id="797533731">
                                              <w:marLeft w:val="0"/>
                                              <w:marRight w:val="0"/>
                                              <w:marTop w:val="0"/>
                                              <w:marBottom w:val="0"/>
                                              <w:divBdr>
                                                <w:top w:val="single" w:sz="2" w:space="0" w:color="E3E3E3"/>
                                                <w:left w:val="single" w:sz="2" w:space="0" w:color="E3E3E3"/>
                                                <w:bottom w:val="single" w:sz="2" w:space="0" w:color="E3E3E3"/>
                                                <w:right w:val="single" w:sz="2" w:space="0" w:color="E3E3E3"/>
                                              </w:divBdr>
                                              <w:divsChild>
                                                <w:div w:id="821431381">
                                                  <w:marLeft w:val="0"/>
                                                  <w:marRight w:val="0"/>
                                                  <w:marTop w:val="0"/>
                                                  <w:marBottom w:val="0"/>
                                                  <w:divBdr>
                                                    <w:top w:val="single" w:sz="2" w:space="0" w:color="E3E3E3"/>
                                                    <w:left w:val="single" w:sz="2" w:space="0" w:color="E3E3E3"/>
                                                    <w:bottom w:val="single" w:sz="2" w:space="0" w:color="E3E3E3"/>
                                                    <w:right w:val="single" w:sz="2" w:space="0" w:color="E3E3E3"/>
                                                  </w:divBdr>
                                                  <w:divsChild>
                                                    <w:div w:id="1221209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47237164">
          <w:marLeft w:val="0"/>
          <w:marRight w:val="0"/>
          <w:marTop w:val="0"/>
          <w:marBottom w:val="0"/>
          <w:divBdr>
            <w:top w:val="none" w:sz="0" w:space="0" w:color="auto"/>
            <w:left w:val="none" w:sz="0" w:space="0" w:color="auto"/>
            <w:bottom w:val="none" w:sz="0" w:space="0" w:color="auto"/>
            <w:right w:val="none" w:sz="0" w:space="0" w:color="auto"/>
          </w:divBdr>
        </w:div>
      </w:divsChild>
    </w:div>
    <w:div w:id="1408114776">
      <w:bodyDiv w:val="1"/>
      <w:marLeft w:val="0"/>
      <w:marRight w:val="0"/>
      <w:marTop w:val="0"/>
      <w:marBottom w:val="0"/>
      <w:divBdr>
        <w:top w:val="none" w:sz="0" w:space="0" w:color="auto"/>
        <w:left w:val="none" w:sz="0" w:space="0" w:color="auto"/>
        <w:bottom w:val="none" w:sz="0" w:space="0" w:color="auto"/>
        <w:right w:val="none" w:sz="0" w:space="0" w:color="auto"/>
      </w:divBdr>
    </w:div>
    <w:div w:id="1548223754">
      <w:bodyDiv w:val="1"/>
      <w:marLeft w:val="0"/>
      <w:marRight w:val="0"/>
      <w:marTop w:val="0"/>
      <w:marBottom w:val="0"/>
      <w:divBdr>
        <w:top w:val="none" w:sz="0" w:space="0" w:color="auto"/>
        <w:left w:val="none" w:sz="0" w:space="0" w:color="auto"/>
        <w:bottom w:val="none" w:sz="0" w:space="0" w:color="auto"/>
        <w:right w:val="none" w:sz="0" w:space="0" w:color="auto"/>
      </w:divBdr>
    </w:div>
    <w:div w:id="1628242032">
      <w:bodyDiv w:val="1"/>
      <w:marLeft w:val="0"/>
      <w:marRight w:val="0"/>
      <w:marTop w:val="0"/>
      <w:marBottom w:val="0"/>
      <w:divBdr>
        <w:top w:val="none" w:sz="0" w:space="0" w:color="auto"/>
        <w:left w:val="none" w:sz="0" w:space="0" w:color="auto"/>
        <w:bottom w:val="none" w:sz="0" w:space="0" w:color="auto"/>
        <w:right w:val="none" w:sz="0" w:space="0" w:color="auto"/>
      </w:divBdr>
    </w:div>
    <w:div w:id="1760365030">
      <w:bodyDiv w:val="1"/>
      <w:marLeft w:val="0"/>
      <w:marRight w:val="0"/>
      <w:marTop w:val="0"/>
      <w:marBottom w:val="0"/>
      <w:divBdr>
        <w:top w:val="none" w:sz="0" w:space="0" w:color="auto"/>
        <w:left w:val="none" w:sz="0" w:space="0" w:color="auto"/>
        <w:bottom w:val="none" w:sz="0" w:space="0" w:color="auto"/>
        <w:right w:val="none" w:sz="0" w:space="0" w:color="auto"/>
      </w:divBdr>
    </w:div>
    <w:div w:id="1837381961">
      <w:bodyDiv w:val="1"/>
      <w:marLeft w:val="0"/>
      <w:marRight w:val="0"/>
      <w:marTop w:val="0"/>
      <w:marBottom w:val="0"/>
      <w:divBdr>
        <w:top w:val="none" w:sz="0" w:space="0" w:color="auto"/>
        <w:left w:val="none" w:sz="0" w:space="0" w:color="auto"/>
        <w:bottom w:val="none" w:sz="0" w:space="0" w:color="auto"/>
        <w:right w:val="none" w:sz="0" w:space="0" w:color="auto"/>
      </w:divBdr>
    </w:div>
    <w:div w:id="1940487126">
      <w:bodyDiv w:val="1"/>
      <w:marLeft w:val="0"/>
      <w:marRight w:val="0"/>
      <w:marTop w:val="0"/>
      <w:marBottom w:val="0"/>
      <w:divBdr>
        <w:top w:val="none" w:sz="0" w:space="0" w:color="auto"/>
        <w:left w:val="none" w:sz="0" w:space="0" w:color="auto"/>
        <w:bottom w:val="none" w:sz="0" w:space="0" w:color="auto"/>
        <w:right w:val="none" w:sz="0" w:space="0" w:color="auto"/>
      </w:divBdr>
    </w:div>
    <w:div w:id="2043703738">
      <w:bodyDiv w:val="1"/>
      <w:marLeft w:val="0"/>
      <w:marRight w:val="0"/>
      <w:marTop w:val="0"/>
      <w:marBottom w:val="0"/>
      <w:divBdr>
        <w:top w:val="none" w:sz="0" w:space="0" w:color="auto"/>
        <w:left w:val="none" w:sz="0" w:space="0" w:color="auto"/>
        <w:bottom w:val="none" w:sz="0" w:space="0" w:color="auto"/>
        <w:right w:val="none" w:sz="0" w:space="0" w:color="auto"/>
      </w:divBdr>
    </w:div>
    <w:div w:id="2071418344">
      <w:bodyDiv w:val="1"/>
      <w:marLeft w:val="0"/>
      <w:marRight w:val="0"/>
      <w:marTop w:val="0"/>
      <w:marBottom w:val="0"/>
      <w:divBdr>
        <w:top w:val="none" w:sz="0" w:space="0" w:color="auto"/>
        <w:left w:val="none" w:sz="0" w:space="0" w:color="auto"/>
        <w:bottom w:val="none" w:sz="0" w:space="0" w:color="auto"/>
        <w:right w:val="none" w:sz="0" w:space="0" w:color="auto"/>
      </w:divBdr>
    </w:div>
    <w:div w:id="21473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cid:image003.png@01DA9189.F8CA374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gi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2.png@01DA9189.F8CA3740" TargetMode="External"/><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vent.com/api/email/dispatch/v1/click/7m5gjzlpkltd4g/kr5j7w4y/aHR0cHMlM0ElMkYlMkZ3d3cuaW1mY29ubmVjdC5vcmclMkZjb250ZW50JTJGaW1mJTJGZW4lMkZnbW0lMkZhcmNoaXZlLmh0bWwmU1U2YyUyRkpWNXpnWSUyQjdGYmdRWTZpSDBrVERJSXlOS2FSZGhVYWVFcXlwYTAlM0Qmb25saW5lK2FyY2hpd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IMF color template">
      <a:dk1>
        <a:srgbClr val="000000"/>
      </a:dk1>
      <a:lt1>
        <a:srgbClr val="FEFEFE"/>
      </a:lt1>
      <a:dk2>
        <a:srgbClr val="004C97"/>
      </a:dk2>
      <a:lt2>
        <a:srgbClr val="CAEDFE"/>
      </a:lt2>
      <a:accent1>
        <a:srgbClr val="009CDE"/>
      </a:accent1>
      <a:accent2>
        <a:srgbClr val="F2A900"/>
      </a:accent2>
      <a:accent3>
        <a:srgbClr val="8030A7"/>
      </a:accent3>
      <a:accent4>
        <a:srgbClr val="DA281C"/>
      </a:accent4>
      <a:accent5>
        <a:srgbClr val="78BE20"/>
      </a:accent5>
      <a:accent6>
        <a:srgbClr val="00B0B9"/>
      </a:accent6>
      <a:hlink>
        <a:srgbClr val="0065B3"/>
      </a:hlink>
      <a:folHlink>
        <a:srgbClr val="FFBD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requently_x0020_Used xmlns="34f70b63-4224-473b-ac88-56a1c963a1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067CECD75F6488A011E7E877B7216" ma:contentTypeVersion="1" ma:contentTypeDescription="Create a new document." ma:contentTypeScope="" ma:versionID="085814069315b0c3f5edc5f8f65a052c">
  <xsd:schema xmlns:xsd="http://www.w3.org/2001/XMLSchema" xmlns:p="http://schemas.microsoft.com/office/2006/metadata/properties" xmlns:ns2="34f70b63-4224-473b-ac88-56a1c963a1de" targetNamespace="http://schemas.microsoft.com/office/2006/metadata/properties" ma:root="true" ma:fieldsID="8552011bbdbb6b9c782f1c1e7d1bee65" ns2:_="">
    <xsd:import namespace="34f70b63-4224-473b-ac88-56a1c963a1de"/>
    <xsd:element name="properties">
      <xsd:complexType>
        <xsd:sequence>
          <xsd:element name="documentManagement">
            <xsd:complexType>
              <xsd:all>
                <xsd:element ref="ns2:Frequently_x0020_Used" minOccurs="0"/>
              </xsd:all>
            </xsd:complexType>
          </xsd:element>
        </xsd:sequence>
      </xsd:complexType>
    </xsd:element>
  </xsd:schema>
  <xsd:schema xmlns:xsd="http://www.w3.org/2001/XMLSchema" xmlns:dms="http://schemas.microsoft.com/office/2006/documentManagement/types" targetNamespace="34f70b63-4224-473b-ac88-56a1c963a1de" elementFormDefault="qualified">
    <xsd:import namespace="http://schemas.microsoft.com/office/2006/documentManagement/types"/>
    <xsd:element name="Frequently_x0020_Used" ma:index="8" nillable="true" ma:displayName="Frequently Used" ma:description="Templates Used most often." ma:internalName="Frequently_x0020_Us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86E50-4BFE-4B05-B44F-CAC882C86AAA}">
  <ds:schemaRefs>
    <ds:schemaRef ds:uri="http://schemas.microsoft.com/sharepoint/v3/contenttype/forms"/>
  </ds:schemaRefs>
</ds:datastoreItem>
</file>

<file path=customXml/itemProps2.xml><?xml version="1.0" encoding="utf-8"?>
<ds:datastoreItem xmlns:ds="http://schemas.openxmlformats.org/officeDocument/2006/customXml" ds:itemID="{AED4B78A-6F47-48B5-8411-3EFE2022F02B}">
  <ds:schemaRefs>
    <ds:schemaRef ds:uri="http://schemas.microsoft.com/office/2006/metadata/properties"/>
    <ds:schemaRef ds:uri="34f70b63-4224-473b-ac88-56a1c963a1de"/>
  </ds:schemaRefs>
</ds:datastoreItem>
</file>

<file path=customXml/itemProps3.xml><?xml version="1.0" encoding="utf-8"?>
<ds:datastoreItem xmlns:ds="http://schemas.openxmlformats.org/officeDocument/2006/customXml" ds:itemID="{4911C8D1-2F4F-4C13-A8EA-D9469E8B8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70b63-4224-473b-ac88-56a1c963a1d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614B02-ADE4-47BF-96DE-A86FF2F0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Normal</vt:lpstr>
    </vt:vector>
  </TitlesOfParts>
  <Company>International Monetary Fund</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Bernal, Magally</dc:creator>
  <cp:keywords>IMF</cp:keywords>
  <cp:lastModifiedBy>Sammeta, Srujana Kishore</cp:lastModifiedBy>
  <cp:revision>2</cp:revision>
  <cp:lastPrinted>2019-06-24T18:24:00Z</cp:lastPrinted>
  <dcterms:created xsi:type="dcterms:W3CDTF">2024-04-18T13:12:00Z</dcterms:created>
  <dcterms:modified xsi:type="dcterms:W3CDTF">2024-04-18T13:12:00Z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2023-08-15T13:50:58Z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2230303f-086e-4a00-a93f-27e3f1142085</vt:lpwstr>
  </property>
  <property fmtid="{D5CDD505-2E9C-101B-9397-08002B2CF9AE}" pid="8" name="MSIP_Label_0c07ed86-5dc5-4593-ad03-a8684b843815_ContentBits">
    <vt:lpwstr>0</vt:lpwstr>
  </property>
</Properties>
</file>